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8B914" w14:textId="77777777" w:rsidR="002F7FA3" w:rsidRPr="004729DB" w:rsidRDefault="004852AC" w:rsidP="002F7FA3">
      <w:pPr>
        <w:widowControl w:val="0"/>
        <w:autoSpaceDE w:val="0"/>
        <w:autoSpaceDN w:val="0"/>
        <w:adjustRightInd w:val="0"/>
        <w:rPr>
          <w:b/>
          <w:sz w:val="22"/>
          <w:szCs w:val="22"/>
        </w:rPr>
      </w:pPr>
      <w:r>
        <w:rPr>
          <w:b/>
          <w:sz w:val="22"/>
          <w:szCs w:val="22"/>
        </w:rPr>
        <w:t xml:space="preserve">Communiqué de presse </w:t>
      </w:r>
    </w:p>
    <w:p w14:paraId="2BA1215D" w14:textId="77777777" w:rsidR="002F7FA3" w:rsidRPr="00245BEC" w:rsidRDefault="002F7FA3" w:rsidP="002F7FA3">
      <w:pPr>
        <w:widowControl w:val="0"/>
        <w:autoSpaceDE w:val="0"/>
        <w:autoSpaceDN w:val="0"/>
        <w:adjustRightInd w:val="0"/>
        <w:rPr>
          <w:sz w:val="22"/>
          <w:szCs w:val="22"/>
        </w:rPr>
      </w:pPr>
    </w:p>
    <w:p w14:paraId="5F89B23E" w14:textId="77777777" w:rsidR="002F7FA3" w:rsidRPr="004729DB" w:rsidRDefault="004852AC" w:rsidP="002F7FA3">
      <w:pPr>
        <w:widowControl w:val="0"/>
        <w:autoSpaceDE w:val="0"/>
        <w:autoSpaceDN w:val="0"/>
        <w:adjustRightInd w:val="0"/>
        <w:rPr>
          <w:sz w:val="22"/>
          <w:szCs w:val="22"/>
        </w:rPr>
      </w:pPr>
      <w:r>
        <w:rPr>
          <w:sz w:val="22"/>
          <w:szCs w:val="22"/>
        </w:rPr>
        <w:t>Prix W.A. de Vigier 2020</w:t>
      </w:r>
    </w:p>
    <w:p w14:paraId="4087DCF9" w14:textId="77777777" w:rsidR="002F7FA3" w:rsidRPr="004729DB" w:rsidRDefault="004852AC" w:rsidP="002F7FA3">
      <w:pPr>
        <w:widowControl w:val="0"/>
        <w:autoSpaceDE w:val="0"/>
        <w:autoSpaceDN w:val="0"/>
        <w:adjustRightInd w:val="0"/>
        <w:rPr>
          <w:b/>
          <w:sz w:val="28"/>
          <w:szCs w:val="22"/>
        </w:rPr>
      </w:pPr>
      <w:r>
        <w:rPr>
          <w:b/>
          <w:sz w:val="28"/>
          <w:szCs w:val="22"/>
        </w:rPr>
        <w:t>Quatre des cinq lauréats sont des start-up issues du domaine des cleantech</w:t>
      </w:r>
    </w:p>
    <w:p w14:paraId="37351E3D" w14:textId="77777777" w:rsidR="002F7FA3" w:rsidRPr="00245BEC" w:rsidRDefault="002F7FA3" w:rsidP="002F7FA3">
      <w:pPr>
        <w:widowControl w:val="0"/>
        <w:autoSpaceDE w:val="0"/>
        <w:autoSpaceDN w:val="0"/>
        <w:adjustRightInd w:val="0"/>
        <w:rPr>
          <w:sz w:val="22"/>
          <w:szCs w:val="22"/>
        </w:rPr>
      </w:pPr>
    </w:p>
    <w:p w14:paraId="0BD5E594" w14:textId="77777777" w:rsidR="0083734F" w:rsidRPr="004729DB" w:rsidRDefault="004852AC" w:rsidP="0083734F">
      <w:pPr>
        <w:contextualSpacing/>
        <w:rPr>
          <w:b/>
          <w:sz w:val="22"/>
          <w:szCs w:val="22"/>
        </w:rPr>
      </w:pPr>
      <w:r>
        <w:rPr>
          <w:sz w:val="22"/>
          <w:szCs w:val="22"/>
        </w:rPr>
        <w:t xml:space="preserve">Soleure, </w:t>
      </w:r>
      <w:bookmarkStart w:id="0" w:name="_GoBack"/>
      <w:bookmarkEnd w:id="0"/>
      <w:r w:rsidRPr="00E03730">
        <w:rPr>
          <w:sz w:val="22"/>
          <w:szCs w:val="22"/>
        </w:rPr>
        <w:t>le 10 juin 2020</w:t>
      </w:r>
      <w:r>
        <w:rPr>
          <w:sz w:val="22"/>
          <w:szCs w:val="22"/>
        </w:rPr>
        <w:t xml:space="preserve">. </w:t>
      </w:r>
      <w:r>
        <w:rPr>
          <w:b/>
          <w:sz w:val="22"/>
          <w:szCs w:val="22"/>
        </w:rPr>
        <w:t>Parmi les 192 projets proposés, le jury a sélectionné aujourd’hui les cinq lauréats qui recevront chacun une bourse de CHF 100 000.–. Quatre des cinq lauréats sont des start-up issues du domaine des cleantech, ce qui reflète bien le pourcentage important des projets proposés par ce secteur cette année. Ces entreprises représentent un potentiel de rétablissement de l’économie suisse plus respectueux de l’environnement après la crise liée au Covid-19.</w:t>
      </w:r>
    </w:p>
    <w:p w14:paraId="27D502F5" w14:textId="77777777" w:rsidR="0083734F" w:rsidRPr="00245BEC" w:rsidRDefault="0083734F" w:rsidP="0083734F">
      <w:pPr>
        <w:tabs>
          <w:tab w:val="left" w:pos="2726"/>
        </w:tabs>
        <w:rPr>
          <w:b/>
          <w:sz w:val="22"/>
          <w:szCs w:val="22"/>
        </w:rPr>
      </w:pPr>
    </w:p>
    <w:p w14:paraId="31DF4094" w14:textId="11AFCE31" w:rsidR="00CC386E" w:rsidRPr="004729DB" w:rsidRDefault="004852AC" w:rsidP="00CC386E">
      <w:pPr>
        <w:tabs>
          <w:tab w:val="left" w:pos="2726"/>
        </w:tabs>
        <w:rPr>
          <w:sz w:val="22"/>
          <w:szCs w:val="22"/>
        </w:rPr>
      </w:pPr>
      <w:r>
        <w:rPr>
          <w:sz w:val="22"/>
          <w:szCs w:val="22"/>
        </w:rPr>
        <w:t>Comme l’affirme Regula Buob, Directrice de la Fondation W.A. de Vigier, «Tandis que nous luttons contre une pandémie mondiale, il est évident que les conséquences du changement climatique représentent un challenge encore plus important. Notre génération doit solutionner des problèmes environnementaux urgents et ceci se reflète en particulier dans le nombre élevé de start-up issues du domaine des cleantech ayant postulé et ayant été sélectionnées pour recevoir notre prix. Ces entreprises du monde des cleantech ont le potentiel de rétablir notre économie de manière plus respectueuse de l’environnement après la crise liée au Covid-19.</w:t>
      </w:r>
      <w:r w:rsidR="00245BEC">
        <w:rPr>
          <w:sz w:val="22"/>
          <w:szCs w:val="22"/>
        </w:rPr>
        <w:t xml:space="preserve"> </w:t>
      </w:r>
      <w:r>
        <w:rPr>
          <w:sz w:val="22"/>
          <w:szCs w:val="22"/>
        </w:rPr>
        <w:t xml:space="preserve">La motivation et la ténacité dont font preuve ces jeunes entrepreneurs est incroyable. Rien ni personne ne les arrête – y compris face à des situations exceptionnelles comme celle que nous traversons.» </w:t>
      </w:r>
    </w:p>
    <w:p w14:paraId="5CBD43DB" w14:textId="77777777" w:rsidR="0099381E" w:rsidRPr="00245BEC" w:rsidRDefault="0099381E" w:rsidP="0083734F">
      <w:pPr>
        <w:tabs>
          <w:tab w:val="left" w:pos="2726"/>
        </w:tabs>
        <w:rPr>
          <w:b/>
          <w:sz w:val="22"/>
          <w:szCs w:val="22"/>
        </w:rPr>
      </w:pPr>
    </w:p>
    <w:p w14:paraId="63E11D72" w14:textId="77777777" w:rsidR="0083734F" w:rsidRPr="004729DB" w:rsidRDefault="004852AC" w:rsidP="0083734F">
      <w:pPr>
        <w:tabs>
          <w:tab w:val="left" w:pos="2726"/>
        </w:tabs>
        <w:rPr>
          <w:sz w:val="22"/>
          <w:szCs w:val="22"/>
        </w:rPr>
      </w:pPr>
      <w:r>
        <w:rPr>
          <w:sz w:val="22"/>
          <w:szCs w:val="22"/>
        </w:rPr>
        <w:t>Du fait de l’épidémie de Covid-19, la cérémonie de remise des prix se déroulera dans les studios de CNN Money Switzerland et non à la Sommerhaus de Vigier à Soleure. Chacun est invité à participer à l’événement en ligne. Pour Daniel Borer, Président du Conseil de la Fondation W.A. de Vigier, «Notre fondation apporte son soutien à de jeunes entrepreneurs dont les idées innovantes représentent un atout pour notre société. Nous sommes extrêmement fiers de l’opportunité qui nous est offerte cette année de présenter les lauréats 2020 et les membres du Top 10 à un public encore plus large que d’habitude».</w:t>
      </w:r>
    </w:p>
    <w:p w14:paraId="4E33860A" w14:textId="77777777" w:rsidR="002F7FA3" w:rsidRPr="00245BEC" w:rsidRDefault="002F7FA3" w:rsidP="002F7FA3">
      <w:pPr>
        <w:widowControl w:val="0"/>
        <w:autoSpaceDE w:val="0"/>
        <w:autoSpaceDN w:val="0"/>
        <w:adjustRightInd w:val="0"/>
        <w:rPr>
          <w:sz w:val="22"/>
          <w:szCs w:val="22"/>
        </w:rPr>
      </w:pPr>
    </w:p>
    <w:p w14:paraId="29AA0F7E" w14:textId="77777777" w:rsidR="002F7FA3" w:rsidRPr="004729DB" w:rsidRDefault="004852AC" w:rsidP="002F7FA3">
      <w:pPr>
        <w:widowControl w:val="0"/>
        <w:autoSpaceDE w:val="0"/>
        <w:autoSpaceDN w:val="0"/>
        <w:adjustRightInd w:val="0"/>
        <w:rPr>
          <w:b/>
          <w:sz w:val="22"/>
          <w:szCs w:val="22"/>
        </w:rPr>
      </w:pPr>
      <w:r>
        <w:rPr>
          <w:b/>
          <w:sz w:val="22"/>
          <w:szCs w:val="22"/>
        </w:rPr>
        <w:t>Lauréats (par ordre alphabétique)</w:t>
      </w:r>
    </w:p>
    <w:p w14:paraId="7C2110CA" w14:textId="77777777" w:rsidR="002F7FA3" w:rsidRPr="00245BEC" w:rsidRDefault="002F7FA3" w:rsidP="002F7FA3">
      <w:pPr>
        <w:rPr>
          <w:rFonts w:eastAsia="MS Mincho" w:cs="Times"/>
          <w:sz w:val="22"/>
          <w:szCs w:val="22"/>
        </w:rPr>
      </w:pPr>
    </w:p>
    <w:p w14:paraId="1B8E022E" w14:textId="77777777" w:rsidR="002F7FA3" w:rsidRPr="004729DB" w:rsidRDefault="004852AC" w:rsidP="002F7FA3">
      <w:pPr>
        <w:widowControl w:val="0"/>
        <w:autoSpaceDE w:val="0"/>
        <w:autoSpaceDN w:val="0"/>
        <w:adjustRightInd w:val="0"/>
        <w:rPr>
          <w:rFonts w:eastAsia="MS Mincho" w:cs="Times"/>
          <w:b/>
          <w:i/>
          <w:sz w:val="22"/>
          <w:szCs w:val="22"/>
        </w:rPr>
      </w:pPr>
      <w:r>
        <w:rPr>
          <w:b/>
          <w:i/>
          <w:sz w:val="22"/>
          <w:szCs w:val="22"/>
        </w:rPr>
        <w:t>Bloom Biorenewables SA de Marly (FR) – Alternatives durables aux molécules fossiles</w:t>
      </w:r>
    </w:p>
    <w:p w14:paraId="31F66EA9" w14:textId="77777777" w:rsidR="00AE0C77" w:rsidRDefault="004852AC" w:rsidP="00692DC5">
      <w:pPr>
        <w:rPr>
          <w:sz w:val="22"/>
        </w:rPr>
      </w:pPr>
      <w:r>
        <w:rPr>
          <w:sz w:val="22"/>
        </w:rPr>
        <w:t>Le pétrole est présent dans la plupart des produits utilisés au quotidien, ce qui nuit à l’environnement. Bloom a trouvé un moyen de transformer le bois et les déchets agricoles en matériaux renouvelables remplaçant complètement le pétrole. Grâce à cette solution, les entreprises disposent d’une alternative verte et locale, satisfont aux exigences de clients soucieux de l’environnement et les directives gouvernementales, paient moins de taxes sur le CO2 et contribuent à la lutte contre le changement climatique.</w:t>
      </w:r>
    </w:p>
    <w:p w14:paraId="56001BF7" w14:textId="77777777" w:rsidR="00AE0C77" w:rsidRPr="004729DB" w:rsidRDefault="004852AC" w:rsidP="00692DC5">
      <w:pPr>
        <w:rPr>
          <w:rFonts w:eastAsia="MS Mincho"/>
          <w:sz w:val="22"/>
        </w:rPr>
      </w:pPr>
      <w:r>
        <w:rPr>
          <w:sz w:val="22"/>
        </w:rPr>
        <w:t>«Suite au Covid-19, nous sommes confrontés à la concurrence d’un produit encore moins cher. Nous devons toutefois voir plus loin et opérer un changement fondamental en remplaçant le pétrole par des alternatives vertes.» nous dit Remy Buser, PDG de Bloom Biorenewables SA, au sujet de la manière dont la pandémie a affecté son entreprise.</w:t>
      </w:r>
    </w:p>
    <w:p w14:paraId="5D3DB303" w14:textId="2085EE04" w:rsidR="002F7FA3" w:rsidRPr="00245BEC" w:rsidRDefault="00245BEC" w:rsidP="002F7FA3">
      <w:pPr>
        <w:rPr>
          <w:rFonts w:eastAsia="MS Mincho" w:cs="Times"/>
          <w:b/>
          <w:i/>
          <w:sz w:val="22"/>
          <w:szCs w:val="22"/>
        </w:rPr>
      </w:pPr>
      <w:r>
        <w:rPr>
          <w:rFonts w:eastAsia="MS Mincho" w:cs="Times"/>
          <w:b/>
          <w:i/>
          <w:sz w:val="22"/>
          <w:szCs w:val="22"/>
        </w:rPr>
        <w:br w:type="page"/>
      </w:r>
    </w:p>
    <w:p w14:paraId="23096397" w14:textId="77777777" w:rsidR="002F7FA3" w:rsidRPr="004729DB" w:rsidRDefault="004852AC" w:rsidP="002F7FA3">
      <w:pPr>
        <w:widowControl w:val="0"/>
        <w:autoSpaceDE w:val="0"/>
        <w:autoSpaceDN w:val="0"/>
        <w:adjustRightInd w:val="0"/>
        <w:rPr>
          <w:rFonts w:eastAsia="MS Mincho" w:cs="Times"/>
          <w:b/>
          <w:i/>
          <w:sz w:val="22"/>
          <w:szCs w:val="22"/>
        </w:rPr>
      </w:pPr>
      <w:r>
        <w:rPr>
          <w:b/>
          <w:i/>
          <w:sz w:val="22"/>
          <w:szCs w:val="22"/>
        </w:rPr>
        <w:lastRenderedPageBreak/>
        <w:t>EH Group Engineering SA de Prangins (VD) – Technologie innovante des piles à combustible pour une énergie propre</w:t>
      </w:r>
    </w:p>
    <w:p w14:paraId="3A3E681B" w14:textId="77777777" w:rsidR="00692DC5" w:rsidRDefault="004852AC" w:rsidP="00692DC5">
      <w:pPr>
        <w:rPr>
          <w:sz w:val="22"/>
        </w:rPr>
      </w:pPr>
      <w:r>
        <w:rPr>
          <w:sz w:val="22"/>
        </w:rPr>
        <w:t>L’hydrogène serait une source d’énergie puissante et propre, mais elle s’est révélée trop chère, trop complexe et guère fiable pour une large utilisation sur le marché. Chez EH Group, nous avons développé une technologie qui exploite la puissance de l’hydrogène de manière fiable et compacte, à faible coût et pour un investissement initial minimum. Grâce à notre solution, de grands fabricants des secteurs de l’automobile, de l’aviation et du maritime dépassent leurs concurrents en innovant pour un futur plus vert – le seul futur qu’il nous reste.</w:t>
      </w:r>
    </w:p>
    <w:p w14:paraId="072C9BE5" w14:textId="77777777" w:rsidR="00AE0C77" w:rsidRPr="004729DB" w:rsidRDefault="004852AC" w:rsidP="00692DC5">
      <w:pPr>
        <w:rPr>
          <w:rFonts w:eastAsia="MS Mincho"/>
          <w:sz w:val="22"/>
        </w:rPr>
      </w:pPr>
      <w:r>
        <w:rPr>
          <w:sz w:val="22"/>
        </w:rPr>
        <w:t>Ainsi que nous le confie Mardit Matian, PDG d’EH Group Engineering SA, «Je ne peux pas dire que nous ne traversons pas une période très difficile. Mais nous devons continuer à aller de l’avant et ne certainement pas abandonner. Avec les membres de l’équipe, nous nous téléphonons quotidiennement et cette équipe est le meilleur de mes atouts. Elle contribuera à définir les contours de l’entreprise lorsque celle-ci se développera et je sais que je peux compter sur leur soutien indéfectible.»</w:t>
      </w:r>
    </w:p>
    <w:p w14:paraId="556549A0" w14:textId="77777777" w:rsidR="002F7FA3" w:rsidRPr="00245BEC" w:rsidRDefault="002F7FA3" w:rsidP="002F7FA3">
      <w:pPr>
        <w:rPr>
          <w:b/>
          <w:bCs/>
          <w:i/>
          <w:iCs/>
          <w:sz w:val="22"/>
          <w:szCs w:val="22"/>
        </w:rPr>
      </w:pPr>
    </w:p>
    <w:p w14:paraId="29C66A20" w14:textId="77777777" w:rsidR="002F7FA3" w:rsidRPr="004729DB" w:rsidRDefault="004852AC" w:rsidP="002F7FA3">
      <w:pPr>
        <w:widowControl w:val="0"/>
        <w:autoSpaceDE w:val="0"/>
        <w:autoSpaceDN w:val="0"/>
        <w:adjustRightInd w:val="0"/>
        <w:rPr>
          <w:rFonts w:eastAsia="MS Mincho" w:cs="Times"/>
          <w:b/>
          <w:i/>
          <w:sz w:val="22"/>
          <w:szCs w:val="22"/>
        </w:rPr>
      </w:pPr>
      <w:r>
        <w:rPr>
          <w:b/>
          <w:i/>
          <w:sz w:val="22"/>
          <w:szCs w:val="22"/>
        </w:rPr>
        <w:t>FenX SA de Zurich (ZH) – Isolation haute performance durable pour l’industrie de la construction</w:t>
      </w:r>
    </w:p>
    <w:p w14:paraId="3BE20FCA" w14:textId="77777777" w:rsidR="005E6A2B" w:rsidRDefault="004852AC">
      <w:pPr>
        <w:rPr>
          <w:color w:val="000000"/>
          <w:sz w:val="22"/>
        </w:rPr>
      </w:pPr>
      <w:r>
        <w:rPr>
          <w:sz w:val="22"/>
        </w:rPr>
        <w:t>Au moment du choix des matériaux d’isolation, l’industrie de la construction doit faire un compromis sur le prix, l’inflammabilité ou l’impact écologique. Chez FenX, nous avons trouvé un moyen de transformer les déchets industriels en panneaux isolants très performants, sûrs, non-inflammables et avec une empreinte carbone minimum. Cette solution permet à nos clients de tout avoir: excellente isolation, conformité avec tous les standards du marché en termes de sécurité et de protection de l’environnement – et tout cela à bas prix.</w:t>
      </w:r>
    </w:p>
    <w:p w14:paraId="6A847AC4" w14:textId="67FF2A08" w:rsidR="00692DC5" w:rsidRPr="004729DB" w:rsidRDefault="004852AC" w:rsidP="00692DC5">
      <w:pPr>
        <w:rPr>
          <w:rFonts w:eastAsia="MS Mincho"/>
          <w:sz w:val="22"/>
        </w:rPr>
      </w:pPr>
      <w:r>
        <w:rPr>
          <w:sz w:val="22"/>
        </w:rPr>
        <w:t>«Nous sommes dans une situation privilégiée puisque l’industrie de la construction a continué ses activités pendant la pandémie.» constate Etienne Jeoffroy, PDG de FenX SA. «Nous sommes confrontés à des retards, mais rien de trop grave. Nous avons également bénéficié du précieux soutien que nous ont apporté des investisseurs sous la forme d’emprunts convertibles. Les membres de notre équipe ont réduit le</w:t>
      </w:r>
      <w:r w:rsidR="00245BEC">
        <w:rPr>
          <w:sz w:val="22"/>
        </w:rPr>
        <w:t>ur</w:t>
      </w:r>
      <w:r>
        <w:rPr>
          <w:sz w:val="22"/>
        </w:rPr>
        <w:t>s salaires au minimum de manière à aider l’entreprise à sortir plus forte de cette période difficile.»</w:t>
      </w:r>
    </w:p>
    <w:p w14:paraId="7766AEDB" w14:textId="77777777" w:rsidR="002C7F5D" w:rsidRPr="00245BEC" w:rsidRDefault="002C7F5D" w:rsidP="002F7FA3">
      <w:pPr>
        <w:rPr>
          <w:b/>
          <w:bCs/>
          <w:i/>
          <w:iCs/>
          <w:sz w:val="22"/>
          <w:szCs w:val="22"/>
        </w:rPr>
      </w:pPr>
    </w:p>
    <w:p w14:paraId="394EF8DA" w14:textId="77777777" w:rsidR="002F7FA3" w:rsidRPr="004729DB" w:rsidRDefault="004852AC" w:rsidP="002F7FA3">
      <w:pPr>
        <w:rPr>
          <w:b/>
          <w:i/>
          <w:sz w:val="22"/>
          <w:szCs w:val="22"/>
        </w:rPr>
      </w:pPr>
      <w:r>
        <w:rPr>
          <w:b/>
          <w:i/>
          <w:sz w:val="22"/>
          <w:szCs w:val="22"/>
        </w:rPr>
        <w:t>Microcaps SA de Zurich (ZH) – Microcapsules de précision à l’échelon industriel</w:t>
      </w:r>
    </w:p>
    <w:p w14:paraId="25AD8F40" w14:textId="77777777" w:rsidR="00896E2D" w:rsidRPr="004729DB" w:rsidRDefault="004852AC" w:rsidP="00896E2D">
      <w:pPr>
        <w:rPr>
          <w:rFonts w:eastAsia="MS Mincho"/>
          <w:sz w:val="22"/>
        </w:rPr>
      </w:pPr>
      <w:r>
        <w:rPr>
          <w:sz w:val="22"/>
        </w:rPr>
        <w:t>S’assurer que les médicaments sont diffusés dans les parties du corps concernées à un rythme spécifique représente un réel challenge dans la mesure où la taille des capsules qui libèrent ces substances actives n’est pas contrôlable. Chez Microcaps, nous avons développé une technologie brevetée qui permet de contrôler la taille de ces microcapsules avec une précision toute suisse, de manière à ce qu’elles se comportent toutes exactement de la même manière. Ceci signifie que l’on peut directement décider sur mesure et prédire le profil de diffusion d’un médicament. Notre solution est également très intéressante pour les parfums, les arômes et les probiotiques.</w:t>
      </w:r>
    </w:p>
    <w:p w14:paraId="0E5D4BBE" w14:textId="44204CB8" w:rsidR="002F7FA3" w:rsidRPr="004729DB" w:rsidRDefault="004852AC" w:rsidP="002F7FA3">
      <w:pPr>
        <w:rPr>
          <w:rFonts w:eastAsia="MS Mincho" w:cs="Times"/>
          <w:sz w:val="22"/>
          <w:szCs w:val="22"/>
        </w:rPr>
      </w:pPr>
      <w:r>
        <w:rPr>
          <w:sz w:val="22"/>
          <w:szCs w:val="22"/>
        </w:rPr>
        <w:t xml:space="preserve">«Nous avons essayé d’anticiper en amont la manière dont notre activité pourrait être affectée par le Covid-19 et nous tentons actuellement de prédire ce qu’il en sera après la crise.» nous confie Alessandro Ofner, PDG de Microcaps SA. «Bien sûr, nous avons demandé l’aide de notre conseil d’administration et nous avons sollicité notre réseau afin </w:t>
      </w:r>
      <w:r w:rsidR="00245BEC">
        <w:rPr>
          <w:sz w:val="22"/>
          <w:szCs w:val="22"/>
        </w:rPr>
        <w:t>d’être en mesure</w:t>
      </w:r>
      <w:r>
        <w:rPr>
          <w:sz w:val="22"/>
          <w:szCs w:val="22"/>
        </w:rPr>
        <w:t xml:space="preserve"> de contrôler ce que nous pouvions».</w:t>
      </w:r>
    </w:p>
    <w:p w14:paraId="2C2F620F" w14:textId="77777777" w:rsidR="00D80299" w:rsidRPr="00245BEC" w:rsidRDefault="00D80299" w:rsidP="002F7FA3">
      <w:pPr>
        <w:rPr>
          <w:rFonts w:eastAsia="MS Mincho" w:cs="Times"/>
          <w:sz w:val="22"/>
          <w:szCs w:val="22"/>
        </w:rPr>
      </w:pPr>
    </w:p>
    <w:p w14:paraId="30D1AF78" w14:textId="77777777" w:rsidR="002F7FA3" w:rsidRPr="004729DB" w:rsidRDefault="004852AC" w:rsidP="002F7FA3">
      <w:pPr>
        <w:widowControl w:val="0"/>
        <w:autoSpaceDE w:val="0"/>
        <w:autoSpaceDN w:val="0"/>
        <w:adjustRightInd w:val="0"/>
        <w:rPr>
          <w:rFonts w:eastAsia="MS Mincho" w:cs="Times"/>
          <w:b/>
          <w:i/>
          <w:sz w:val="22"/>
          <w:szCs w:val="22"/>
        </w:rPr>
      </w:pPr>
      <w:r>
        <w:rPr>
          <w:b/>
          <w:i/>
          <w:sz w:val="22"/>
          <w:szCs w:val="22"/>
        </w:rPr>
        <w:t>Oxara AG de Zurich (ZH) – Transformer les matériaux d’excavation en produits de construction durables</w:t>
      </w:r>
    </w:p>
    <w:p w14:paraId="77455626" w14:textId="77777777" w:rsidR="00896E2D" w:rsidRPr="00896E2D" w:rsidRDefault="004852AC" w:rsidP="00896E2D">
      <w:pPr>
        <w:rPr>
          <w:sz w:val="22"/>
        </w:rPr>
      </w:pPr>
      <w:r>
        <w:rPr>
          <w:sz w:val="22"/>
        </w:rPr>
        <w:t>Tous les projets de construction commencent par l’enlèvement de tonnes de débris d’excavation, tandis que l’espace d’enfouissement nécessaire n’est pas suffisant. De plus, il y a une pénurie de béton de construction.</w:t>
      </w:r>
    </w:p>
    <w:p w14:paraId="3A06DB8D" w14:textId="77777777" w:rsidR="00896E2D" w:rsidRDefault="004852AC" w:rsidP="00896E2D">
      <w:pPr>
        <w:rPr>
          <w:sz w:val="22"/>
        </w:rPr>
      </w:pPr>
      <w:r>
        <w:rPr>
          <w:sz w:val="22"/>
        </w:rPr>
        <w:lastRenderedPageBreak/>
        <w:t>C’est pourquoi Oxara a développé un mélange chimique qui transforme les déchets d’excavation en produits de construction respectueux de l’environnement. Ceci permet à l’industrie de la construction d’économiser des millions en frais d’enfouissement, tout en bénéficiant de suffisamment de matériaux de construction durables.</w:t>
      </w:r>
    </w:p>
    <w:p w14:paraId="342191DB" w14:textId="5272275B" w:rsidR="00AE0C77" w:rsidRPr="00896E2D" w:rsidRDefault="004852AC" w:rsidP="00896E2D">
      <w:pPr>
        <w:rPr>
          <w:sz w:val="22"/>
        </w:rPr>
      </w:pPr>
      <w:r>
        <w:rPr>
          <w:sz w:val="22"/>
        </w:rPr>
        <w:t xml:space="preserve">Comme l’explique Gnanli Landrou, PDG d’Oxara AG, «Notre activité est au ralenti pour le moment, mais cela nous laisse plus de temps à investir dans notre technologie. Nous avons informé les parties prenantes </w:t>
      </w:r>
      <w:r w:rsidR="00245BEC" w:rsidRPr="00245BEC">
        <w:rPr>
          <w:sz w:val="22"/>
        </w:rPr>
        <w:t xml:space="preserve">qu’il ne serait pas possible </w:t>
      </w:r>
      <w:r>
        <w:rPr>
          <w:sz w:val="22"/>
        </w:rPr>
        <w:t>de livrer selon le calendrier de départ, mais, en équipe, nous avons essayé de trouver des solutions créatives tenant compte de la situation.»</w:t>
      </w:r>
    </w:p>
    <w:p w14:paraId="06E54C0A" w14:textId="77777777" w:rsidR="002F7FA3" w:rsidRPr="00245BEC" w:rsidRDefault="002F7FA3" w:rsidP="002F7FA3">
      <w:pPr>
        <w:widowControl w:val="0"/>
        <w:autoSpaceDE w:val="0"/>
        <w:autoSpaceDN w:val="0"/>
        <w:adjustRightInd w:val="0"/>
        <w:rPr>
          <w:rFonts w:eastAsia="MS Mincho" w:cs="Times"/>
          <w:sz w:val="22"/>
          <w:szCs w:val="22"/>
        </w:rPr>
      </w:pPr>
    </w:p>
    <w:p w14:paraId="25A2C811" w14:textId="77777777" w:rsidR="002F7FA3" w:rsidRPr="004729DB" w:rsidRDefault="004852AC" w:rsidP="002F7FA3">
      <w:pPr>
        <w:widowControl w:val="0"/>
        <w:autoSpaceDE w:val="0"/>
        <w:autoSpaceDN w:val="0"/>
        <w:adjustRightInd w:val="0"/>
        <w:rPr>
          <w:rFonts w:eastAsia="MS Mincho" w:cs="Helvetica"/>
          <w:b/>
          <w:sz w:val="22"/>
          <w:szCs w:val="22"/>
        </w:rPr>
      </w:pPr>
      <w:r>
        <w:rPr>
          <w:b/>
          <w:sz w:val="22"/>
          <w:szCs w:val="22"/>
        </w:rPr>
        <w:t>À propos du prix W.A. de Vigier</w:t>
      </w:r>
    </w:p>
    <w:p w14:paraId="70E202FF" w14:textId="77777777" w:rsidR="002F7FA3" w:rsidRPr="00245BEC" w:rsidRDefault="002F7FA3" w:rsidP="002F7FA3">
      <w:pPr>
        <w:widowControl w:val="0"/>
        <w:autoSpaceDE w:val="0"/>
        <w:autoSpaceDN w:val="0"/>
        <w:adjustRightInd w:val="0"/>
        <w:rPr>
          <w:rFonts w:eastAsia="MS Mincho" w:cs="Helvetica"/>
          <w:sz w:val="22"/>
          <w:szCs w:val="22"/>
        </w:rPr>
      </w:pPr>
    </w:p>
    <w:p w14:paraId="2999F423" w14:textId="77777777" w:rsidR="002F7FA3" w:rsidRPr="004729DB" w:rsidRDefault="004852AC" w:rsidP="002F7FA3">
      <w:pPr>
        <w:widowControl w:val="0"/>
        <w:autoSpaceDE w:val="0"/>
        <w:autoSpaceDN w:val="0"/>
        <w:adjustRightInd w:val="0"/>
        <w:rPr>
          <w:sz w:val="22"/>
        </w:rPr>
      </w:pPr>
      <w:r>
        <w:rPr>
          <w:sz w:val="22"/>
          <w:szCs w:val="22"/>
        </w:rPr>
        <w:t xml:space="preserve">Le prix W.A. de Vigier est la plus ancienne distinction destinée aux jeunes entrepreneurs en Suisse. Avec CHF 500 000.– francs distribués chaque année (cinq fois CHF 100 000.–), il est aussi l’un des prix destinés aux start-up les mieux dotés de Suisse. </w:t>
      </w:r>
      <w:r>
        <w:rPr>
          <w:sz w:val="22"/>
        </w:rPr>
        <w:t>Au cours des 31 dernières années, la Fondation a attribué au total plus de 11 millions de francs en capital de départ dans tous les secteurs. Le résultat en est plus de 90 start-up florissantes, des entrées en bourse menées à bien, de nombreuses cessions d’entreprises et, surtout, de nombreux emplois créés.</w:t>
      </w:r>
    </w:p>
    <w:p w14:paraId="1237B42A" w14:textId="77777777" w:rsidR="00270AC0" w:rsidRPr="00245BEC" w:rsidRDefault="00270AC0" w:rsidP="002F7FA3">
      <w:pPr>
        <w:widowControl w:val="0"/>
        <w:autoSpaceDE w:val="0"/>
        <w:autoSpaceDN w:val="0"/>
        <w:adjustRightInd w:val="0"/>
        <w:rPr>
          <w:sz w:val="22"/>
        </w:rPr>
      </w:pPr>
    </w:p>
    <w:p w14:paraId="7E0773BD" w14:textId="77777777" w:rsidR="00CC613A" w:rsidRPr="004729DB" w:rsidRDefault="004852AC" w:rsidP="002F7FA3">
      <w:pPr>
        <w:rPr>
          <w:sz w:val="22"/>
        </w:rPr>
      </w:pPr>
      <w:r>
        <w:rPr>
          <w:sz w:val="22"/>
        </w:rPr>
        <w:t>Les aspects suivants sont pris en compte lors de l’évaluation des projets: la personnalité des entrepreneurs, un niveau élevé d’innovation, la valeur ajoutée pour la société dans son ensemble, la viabilité technique et financière, ainsi que les perspectives commerciales et le potentiel de création d’emplois.</w:t>
      </w:r>
    </w:p>
    <w:p w14:paraId="7EF01A9C" w14:textId="77777777" w:rsidR="00CC613A" w:rsidRPr="004729DB" w:rsidRDefault="004852AC" w:rsidP="002F7FA3">
      <w:pPr>
        <w:rPr>
          <w:sz w:val="22"/>
        </w:rPr>
      </w:pPr>
      <w:r>
        <w:rPr>
          <w:sz w:val="22"/>
        </w:rPr>
        <w:t>-------------------------------------------------------------------------</w:t>
      </w:r>
    </w:p>
    <w:p w14:paraId="5C39C3BD" w14:textId="77777777" w:rsidR="005E6A2B" w:rsidRPr="00245BEC" w:rsidRDefault="005E6A2B" w:rsidP="002F7FA3">
      <w:pPr>
        <w:rPr>
          <w:sz w:val="22"/>
        </w:rPr>
      </w:pPr>
    </w:p>
    <w:p w14:paraId="2F17073F" w14:textId="77777777" w:rsidR="005E6A2B" w:rsidRPr="004729DB" w:rsidRDefault="004852AC" w:rsidP="002F7FA3">
      <w:pPr>
        <w:rPr>
          <w:sz w:val="22"/>
        </w:rPr>
      </w:pPr>
      <w:r>
        <w:rPr>
          <w:sz w:val="22"/>
        </w:rPr>
        <w:t xml:space="preserve">Ce communiqué de presse en trois langues, ainsi qu’une sélection d’images en haute résolution et les déclarations des lauréats sur la manière dont le Covid-19 a affecté leurs affaires pourront être téléchargés sur notre site à partir du 10 juin à 17h30. </w:t>
      </w:r>
    </w:p>
    <w:p w14:paraId="217DD0B5" w14:textId="77777777" w:rsidR="00AD1076" w:rsidRPr="004729DB" w:rsidRDefault="00E03730" w:rsidP="002F7FA3">
      <w:pPr>
        <w:rPr>
          <w:sz w:val="22"/>
        </w:rPr>
      </w:pPr>
      <w:hyperlink r:id="rId10" w:history="1">
        <w:r w:rsidR="004852AC">
          <w:rPr>
            <w:rStyle w:val="Link"/>
            <w:sz w:val="22"/>
          </w:rPr>
          <w:t>https://devigier.ch/media/media-2020/</w:t>
        </w:r>
      </w:hyperlink>
    </w:p>
    <w:p w14:paraId="72BC7AE7" w14:textId="77777777" w:rsidR="002F7FA3" w:rsidRPr="00245BEC" w:rsidRDefault="002F7FA3" w:rsidP="002F7FA3">
      <w:pPr>
        <w:widowControl w:val="0"/>
        <w:autoSpaceDE w:val="0"/>
        <w:autoSpaceDN w:val="0"/>
        <w:adjustRightInd w:val="0"/>
        <w:rPr>
          <w:sz w:val="22"/>
        </w:rPr>
      </w:pPr>
    </w:p>
    <w:p w14:paraId="43C3F73D" w14:textId="77777777" w:rsidR="005E6A2B" w:rsidRPr="00245BEC" w:rsidRDefault="005E6A2B" w:rsidP="002F7FA3">
      <w:pPr>
        <w:widowControl w:val="0"/>
        <w:autoSpaceDE w:val="0"/>
        <w:autoSpaceDN w:val="0"/>
        <w:adjustRightInd w:val="0"/>
        <w:rPr>
          <w:rFonts w:eastAsia="MS Mincho" w:cs="Times"/>
          <w:sz w:val="22"/>
          <w:szCs w:val="22"/>
        </w:rPr>
      </w:pPr>
    </w:p>
    <w:p w14:paraId="4FF0BACC" w14:textId="77777777" w:rsidR="002F7FA3" w:rsidRPr="004729DB" w:rsidRDefault="004852AC" w:rsidP="002F7FA3">
      <w:pPr>
        <w:contextualSpacing/>
        <w:rPr>
          <w:b/>
          <w:sz w:val="22"/>
        </w:rPr>
      </w:pPr>
      <w:r>
        <w:rPr>
          <w:b/>
          <w:sz w:val="22"/>
        </w:rPr>
        <w:t>Contact pour toutes questions</w:t>
      </w:r>
    </w:p>
    <w:p w14:paraId="613B0391" w14:textId="77777777" w:rsidR="002F7FA3" w:rsidRPr="004729DB" w:rsidRDefault="004852AC" w:rsidP="002F7FA3">
      <w:pPr>
        <w:contextualSpacing/>
        <w:rPr>
          <w:sz w:val="22"/>
        </w:rPr>
      </w:pPr>
      <w:r>
        <w:rPr>
          <w:sz w:val="22"/>
        </w:rPr>
        <w:t xml:space="preserve">Fondation W.A. de Vigier </w:t>
      </w:r>
    </w:p>
    <w:p w14:paraId="3004BB40" w14:textId="77777777" w:rsidR="002F7FA3" w:rsidRPr="004729DB" w:rsidRDefault="004852AC" w:rsidP="002F7FA3">
      <w:pPr>
        <w:widowControl w:val="0"/>
        <w:autoSpaceDE w:val="0"/>
        <w:autoSpaceDN w:val="0"/>
        <w:adjustRightInd w:val="0"/>
        <w:rPr>
          <w:rFonts w:eastAsia="MS Mincho" w:cs="Helvetica"/>
          <w:sz w:val="22"/>
          <w:szCs w:val="22"/>
        </w:rPr>
      </w:pPr>
      <w:r>
        <w:rPr>
          <w:sz w:val="22"/>
          <w:szCs w:val="22"/>
        </w:rPr>
        <w:t>Regula Buob, Directrice</w:t>
      </w:r>
    </w:p>
    <w:p w14:paraId="40905D78" w14:textId="77777777" w:rsidR="002F7FA3" w:rsidRPr="004729DB" w:rsidRDefault="004852AC" w:rsidP="002F7FA3">
      <w:pPr>
        <w:widowControl w:val="0"/>
        <w:autoSpaceDE w:val="0"/>
        <w:autoSpaceDN w:val="0"/>
        <w:adjustRightInd w:val="0"/>
        <w:rPr>
          <w:rFonts w:eastAsia="MS Mincho" w:cs="Helvetica"/>
          <w:sz w:val="22"/>
          <w:szCs w:val="22"/>
        </w:rPr>
      </w:pPr>
      <w:r>
        <w:rPr>
          <w:sz w:val="22"/>
          <w:szCs w:val="22"/>
        </w:rPr>
        <w:t xml:space="preserve">Untere Steingrubenstrasse 25 </w:t>
      </w:r>
      <w:r>
        <w:rPr>
          <w:rFonts w:ascii="Source Sans Pro" w:hAnsi="Source Sans Pro"/>
          <w:sz w:val="22"/>
        </w:rPr>
        <w:t xml:space="preserve">| </w:t>
      </w:r>
      <w:r>
        <w:rPr>
          <w:sz w:val="22"/>
          <w:szCs w:val="22"/>
        </w:rPr>
        <w:t xml:space="preserve">4500 Soleure </w:t>
      </w:r>
    </w:p>
    <w:p w14:paraId="7D5E888D" w14:textId="77777777" w:rsidR="002F7FA3" w:rsidRPr="004729DB" w:rsidRDefault="004852AC" w:rsidP="002F7FA3">
      <w:pPr>
        <w:widowControl w:val="0"/>
        <w:autoSpaceDE w:val="0"/>
        <w:autoSpaceDN w:val="0"/>
        <w:adjustRightInd w:val="0"/>
        <w:rPr>
          <w:rFonts w:eastAsia="MS Mincho" w:cs="Helvetica"/>
          <w:sz w:val="22"/>
          <w:szCs w:val="22"/>
        </w:rPr>
      </w:pPr>
      <w:r>
        <w:rPr>
          <w:sz w:val="22"/>
          <w:szCs w:val="22"/>
        </w:rPr>
        <w:t>076 390 31 15 </w:t>
      </w:r>
    </w:p>
    <w:p w14:paraId="2EA97FC3" w14:textId="77777777" w:rsidR="002F7FA3" w:rsidRPr="004729DB" w:rsidRDefault="004852AC" w:rsidP="002F7FA3">
      <w:pPr>
        <w:widowControl w:val="0"/>
        <w:autoSpaceDE w:val="0"/>
        <w:autoSpaceDN w:val="0"/>
        <w:adjustRightInd w:val="0"/>
        <w:rPr>
          <w:rFonts w:eastAsia="MS Mincho" w:cs="Helvetica"/>
          <w:sz w:val="22"/>
          <w:szCs w:val="22"/>
        </w:rPr>
      </w:pPr>
      <w:r>
        <w:rPr>
          <w:sz w:val="22"/>
          <w:szCs w:val="22"/>
        </w:rPr>
        <w:t xml:space="preserve">regula.buob@devigier.ch </w:t>
      </w:r>
      <w:r>
        <w:rPr>
          <w:rFonts w:ascii="Source Sans Pro" w:hAnsi="Source Sans Pro"/>
          <w:sz w:val="22"/>
        </w:rPr>
        <w:t xml:space="preserve">| </w:t>
      </w:r>
      <w:r>
        <w:rPr>
          <w:sz w:val="22"/>
          <w:szCs w:val="22"/>
        </w:rPr>
        <w:t xml:space="preserve">www.devigier.ch </w:t>
      </w:r>
    </w:p>
    <w:p w14:paraId="37971D1A" w14:textId="77777777" w:rsidR="005C0C1D" w:rsidRPr="004729DB" w:rsidRDefault="005C0C1D" w:rsidP="00B0506F">
      <w:pPr>
        <w:widowControl w:val="0"/>
        <w:autoSpaceDE w:val="0"/>
        <w:autoSpaceDN w:val="0"/>
        <w:adjustRightInd w:val="0"/>
        <w:rPr>
          <w:rFonts w:eastAsia="MS Mincho" w:cs="Helvetica"/>
          <w:sz w:val="22"/>
          <w:szCs w:val="22"/>
          <w:lang w:val="de-DE"/>
        </w:rPr>
      </w:pPr>
    </w:p>
    <w:p w14:paraId="0762D6FA" w14:textId="77777777" w:rsidR="00703E81" w:rsidRPr="004729DB" w:rsidRDefault="00703E81">
      <w:pPr>
        <w:widowControl w:val="0"/>
        <w:autoSpaceDE w:val="0"/>
        <w:autoSpaceDN w:val="0"/>
        <w:adjustRightInd w:val="0"/>
        <w:rPr>
          <w:rFonts w:eastAsia="MS Mincho" w:cs="Helvetica"/>
          <w:sz w:val="22"/>
          <w:szCs w:val="22"/>
          <w:lang w:val="de-DE"/>
        </w:rPr>
      </w:pPr>
    </w:p>
    <w:sectPr w:rsidR="00703E81" w:rsidRPr="004729DB" w:rsidSect="00E01346">
      <w:headerReference w:type="default" r:id="rId11"/>
      <w:footerReference w:type="even" r:id="rId12"/>
      <w:footerReference w:type="default" r:id="rId13"/>
      <w:pgSz w:w="12240" w:h="15840"/>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49C3DB" w14:textId="77777777" w:rsidR="004E177A" w:rsidRDefault="004E177A">
      <w:r>
        <w:separator/>
      </w:r>
    </w:p>
  </w:endnote>
  <w:endnote w:type="continuationSeparator" w:id="0">
    <w:p w14:paraId="32BD59D8" w14:textId="77777777" w:rsidR="004E177A" w:rsidRDefault="004E1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Source Sans Pro">
    <w:panose1 w:val="020B0503030403020204"/>
    <w:charset w:val="00"/>
    <w:family w:val="auto"/>
    <w:pitch w:val="variable"/>
    <w:sig w:usb0="20000007" w:usb1="00000001" w:usb2="00000000" w:usb3="00000000" w:csb0="00000193"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DC107" w14:textId="77777777" w:rsidR="00840551" w:rsidRDefault="004852AC" w:rsidP="00692DC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983081B" w14:textId="77777777" w:rsidR="00840551" w:rsidRDefault="00840551" w:rsidP="00D25769">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39DEF" w14:textId="77777777" w:rsidR="00840551" w:rsidRPr="00D25769" w:rsidRDefault="004852AC" w:rsidP="00692DC5">
    <w:pPr>
      <w:pStyle w:val="Fuzeile"/>
      <w:framePr w:wrap="around" w:vAnchor="text" w:hAnchor="margin" w:xAlign="right" w:y="1"/>
      <w:rPr>
        <w:rStyle w:val="Seitenzahl"/>
        <w:sz w:val="18"/>
        <w:szCs w:val="18"/>
      </w:rPr>
    </w:pPr>
    <w:r w:rsidRPr="00D25769">
      <w:rPr>
        <w:rStyle w:val="Seitenzahl"/>
        <w:sz w:val="18"/>
        <w:szCs w:val="18"/>
      </w:rPr>
      <w:fldChar w:fldCharType="begin"/>
    </w:r>
    <w:r w:rsidRPr="00D25769">
      <w:rPr>
        <w:rStyle w:val="Seitenzahl"/>
        <w:sz w:val="18"/>
        <w:szCs w:val="18"/>
      </w:rPr>
      <w:instrText xml:space="preserve">PAGE  </w:instrText>
    </w:r>
    <w:r w:rsidRPr="00D25769">
      <w:rPr>
        <w:rStyle w:val="Seitenzahl"/>
        <w:sz w:val="18"/>
        <w:szCs w:val="18"/>
      </w:rPr>
      <w:fldChar w:fldCharType="separate"/>
    </w:r>
    <w:r w:rsidR="00E03730">
      <w:rPr>
        <w:rStyle w:val="Seitenzahl"/>
        <w:noProof/>
        <w:sz w:val="18"/>
        <w:szCs w:val="18"/>
      </w:rPr>
      <w:t>1</w:t>
    </w:r>
    <w:r w:rsidRPr="00D25769">
      <w:rPr>
        <w:rStyle w:val="Seitenzahl"/>
        <w:sz w:val="18"/>
        <w:szCs w:val="18"/>
      </w:rPr>
      <w:fldChar w:fldCharType="end"/>
    </w:r>
    <w:r>
      <w:rPr>
        <w:rStyle w:val="Seitenzahl"/>
        <w:sz w:val="18"/>
        <w:szCs w:val="18"/>
      </w:rPr>
      <w:t>/3</w:t>
    </w:r>
  </w:p>
  <w:p w14:paraId="11EE994B" w14:textId="77777777" w:rsidR="00840551" w:rsidRDefault="00840551" w:rsidP="00D25769">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16B7B" w14:textId="77777777" w:rsidR="004E177A" w:rsidRDefault="004E177A">
      <w:r>
        <w:separator/>
      </w:r>
    </w:p>
  </w:footnote>
  <w:footnote w:type="continuationSeparator" w:id="0">
    <w:p w14:paraId="073F6FAD" w14:textId="77777777" w:rsidR="004E177A" w:rsidRDefault="004E17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EDEB3" w14:textId="5EA3D83A" w:rsidR="00840551" w:rsidRDefault="00703E81">
    <w:pPr>
      <w:pStyle w:val="Kopfzeile"/>
    </w:pPr>
    <w:r>
      <w:rPr>
        <w:noProof/>
        <w:sz w:val="22"/>
        <w:szCs w:val="22"/>
        <w:lang w:val="de-DE" w:eastAsia="de-DE"/>
      </w:rPr>
      <w:drawing>
        <wp:inline distT="0" distB="0" distL="0" distR="0" wp14:anchorId="6ED442FA" wp14:editId="2B8D1679">
          <wp:extent cx="2062480" cy="490855"/>
          <wp:effectExtent l="0" t="0" r="0" b="0"/>
          <wp:docPr id="1" name="Bild 1" descr="Macintosh HD:Users:sophieeverett:Desktop:de_vigier:HQ_Logo_DeVigier_cmyk_60SW_sins19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Macintosh HD:Users:sophieeverett:Desktop:de_vigier:HQ_Logo_DeVigier_cmyk_60SW_sins198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490855"/>
                  </a:xfrm>
                  <a:prstGeom prst="rect">
                    <a:avLst/>
                  </a:prstGeom>
                  <a:noFill/>
                  <a:ln>
                    <a:noFill/>
                  </a:ln>
                </pic:spPr>
              </pic:pic>
            </a:graphicData>
          </a:graphic>
        </wp:inline>
      </w:drawing>
    </w:r>
  </w:p>
  <w:p w14:paraId="39226F57" w14:textId="77777777" w:rsidR="00840551" w:rsidRDefault="00840551">
    <w:pPr>
      <w:pStyle w:val="Kopfzeile"/>
    </w:pPr>
  </w:p>
  <w:p w14:paraId="79162F40" w14:textId="77777777" w:rsidR="00840551" w:rsidRDefault="0084055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C1D"/>
    <w:rsid w:val="00000872"/>
    <w:rsid w:val="000261D8"/>
    <w:rsid w:val="00071024"/>
    <w:rsid w:val="000A3236"/>
    <w:rsid w:val="001013C7"/>
    <w:rsid w:val="00130CD0"/>
    <w:rsid w:val="00143B68"/>
    <w:rsid w:val="001521CD"/>
    <w:rsid w:val="00245BEC"/>
    <w:rsid w:val="00270AC0"/>
    <w:rsid w:val="00284C79"/>
    <w:rsid w:val="002C7F5D"/>
    <w:rsid w:val="002F7FA3"/>
    <w:rsid w:val="00351B34"/>
    <w:rsid w:val="003C15CE"/>
    <w:rsid w:val="0041530F"/>
    <w:rsid w:val="004729DB"/>
    <w:rsid w:val="004852AC"/>
    <w:rsid w:val="004E177A"/>
    <w:rsid w:val="00505784"/>
    <w:rsid w:val="00530AE6"/>
    <w:rsid w:val="00534D6C"/>
    <w:rsid w:val="005C0C1D"/>
    <w:rsid w:val="005E6A2B"/>
    <w:rsid w:val="00616E8A"/>
    <w:rsid w:val="00692DC5"/>
    <w:rsid w:val="007010B6"/>
    <w:rsid w:val="00703E81"/>
    <w:rsid w:val="0074236F"/>
    <w:rsid w:val="007F1356"/>
    <w:rsid w:val="0083734F"/>
    <w:rsid w:val="00840551"/>
    <w:rsid w:val="00896E2D"/>
    <w:rsid w:val="008B63DE"/>
    <w:rsid w:val="008D53B0"/>
    <w:rsid w:val="008E717B"/>
    <w:rsid w:val="00940AD7"/>
    <w:rsid w:val="0099381E"/>
    <w:rsid w:val="009D676D"/>
    <w:rsid w:val="009F0F53"/>
    <w:rsid w:val="00A046AE"/>
    <w:rsid w:val="00A054FF"/>
    <w:rsid w:val="00A21C8F"/>
    <w:rsid w:val="00A86651"/>
    <w:rsid w:val="00A945FA"/>
    <w:rsid w:val="00AD1076"/>
    <w:rsid w:val="00AE0C77"/>
    <w:rsid w:val="00B0506F"/>
    <w:rsid w:val="00B525A4"/>
    <w:rsid w:val="00B77819"/>
    <w:rsid w:val="00BA0D25"/>
    <w:rsid w:val="00BB2CC3"/>
    <w:rsid w:val="00C102A9"/>
    <w:rsid w:val="00C420F5"/>
    <w:rsid w:val="00CC386E"/>
    <w:rsid w:val="00CC613A"/>
    <w:rsid w:val="00D25769"/>
    <w:rsid w:val="00D54DD3"/>
    <w:rsid w:val="00D65C20"/>
    <w:rsid w:val="00D72A19"/>
    <w:rsid w:val="00D80299"/>
    <w:rsid w:val="00DA44EB"/>
    <w:rsid w:val="00DC7979"/>
    <w:rsid w:val="00E01346"/>
    <w:rsid w:val="00E03730"/>
    <w:rsid w:val="00E2715E"/>
    <w:rsid w:val="00E543AC"/>
    <w:rsid w:val="00EB2710"/>
    <w:rsid w:val="00ED3927"/>
    <w:rsid w:val="00ED63A0"/>
    <w:rsid w:val="00EE0E2B"/>
    <w:rsid w:val="00EE74EE"/>
    <w:rsid w:val="00F22C76"/>
    <w:rsid w:val="00FC1DE6"/>
  </w:rsids>
  <m:mathPr>
    <m:mathFont m:val="Cambria Math"/>
    <m:brkBin m:val="before"/>
    <m:brkBinSub m:val="--"/>
    <m:smallFrac m:val="0"/>
    <m:dispDef/>
    <m:lMargin m:val="0"/>
    <m:rMargin m:val="0"/>
    <m:defJc m:val="centerGroup"/>
    <m:wrapRight/>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11B6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7FA3"/>
    <w:rPr>
      <w:rFonts w:eastAsia="Times New Roman"/>
      <w:sz w:val="24"/>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5C0C1D"/>
    <w:rPr>
      <w:rFonts w:ascii="Lucida Grande" w:hAnsi="Lucida Grande" w:cs="Lucida Grande"/>
      <w:sz w:val="18"/>
      <w:szCs w:val="18"/>
    </w:rPr>
  </w:style>
  <w:style w:type="character" w:customStyle="1" w:styleId="SprechblasentextZeichen">
    <w:name w:val="Sprechblasentext Zeichen"/>
    <w:link w:val="Sprechblasentext"/>
    <w:uiPriority w:val="99"/>
    <w:semiHidden/>
    <w:rsid w:val="005C0C1D"/>
    <w:rPr>
      <w:rFonts w:ascii="Lucida Grande" w:eastAsia="Times New Roman" w:hAnsi="Lucida Grande" w:cs="Lucida Grande"/>
      <w:sz w:val="18"/>
      <w:szCs w:val="18"/>
      <w:lang w:val="fr-FR"/>
    </w:rPr>
  </w:style>
  <w:style w:type="paragraph" w:styleId="Kopfzeile">
    <w:name w:val="header"/>
    <w:basedOn w:val="Standard"/>
    <w:link w:val="KopfzeileZeichen"/>
    <w:uiPriority w:val="99"/>
    <w:unhideWhenUsed/>
    <w:rsid w:val="00A86651"/>
    <w:pPr>
      <w:tabs>
        <w:tab w:val="center" w:pos="4536"/>
        <w:tab w:val="right" w:pos="9072"/>
      </w:tabs>
    </w:pPr>
  </w:style>
  <w:style w:type="character" w:customStyle="1" w:styleId="KopfzeileZeichen">
    <w:name w:val="Kopfzeile Zeichen"/>
    <w:link w:val="Kopfzeile"/>
    <w:uiPriority w:val="99"/>
    <w:rsid w:val="00A86651"/>
    <w:rPr>
      <w:rFonts w:eastAsia="Times New Roman"/>
      <w:lang w:val="fr-FR"/>
    </w:rPr>
  </w:style>
  <w:style w:type="paragraph" w:styleId="Fuzeile">
    <w:name w:val="footer"/>
    <w:basedOn w:val="Standard"/>
    <w:link w:val="FuzeileZeichen"/>
    <w:uiPriority w:val="99"/>
    <w:unhideWhenUsed/>
    <w:rsid w:val="00A86651"/>
    <w:pPr>
      <w:tabs>
        <w:tab w:val="center" w:pos="4536"/>
        <w:tab w:val="right" w:pos="9072"/>
      </w:tabs>
    </w:pPr>
  </w:style>
  <w:style w:type="character" w:customStyle="1" w:styleId="FuzeileZeichen">
    <w:name w:val="Fußzeile Zeichen"/>
    <w:link w:val="Fuzeile"/>
    <w:uiPriority w:val="99"/>
    <w:rsid w:val="00A86651"/>
    <w:rPr>
      <w:rFonts w:eastAsia="Times New Roman"/>
      <w:lang w:val="fr-FR"/>
    </w:rPr>
  </w:style>
  <w:style w:type="character" w:styleId="Link">
    <w:name w:val="Hyperlink"/>
    <w:uiPriority w:val="99"/>
    <w:unhideWhenUsed/>
    <w:rsid w:val="00B525A4"/>
    <w:rPr>
      <w:color w:val="0000FF"/>
      <w:u w:val="single"/>
    </w:rPr>
  </w:style>
  <w:style w:type="character" w:customStyle="1" w:styleId="il">
    <w:name w:val="il"/>
    <w:basedOn w:val="Absatzstandardschriftart"/>
    <w:rsid w:val="00B0506F"/>
  </w:style>
  <w:style w:type="character" w:customStyle="1" w:styleId="x-text-content-text-subheadline">
    <w:name w:val="x-text-content-text-subheadline"/>
    <w:basedOn w:val="Absatzstandardschriftart"/>
    <w:rsid w:val="00FC1DE6"/>
  </w:style>
  <w:style w:type="character" w:styleId="Betont">
    <w:name w:val="Strong"/>
    <w:uiPriority w:val="22"/>
    <w:qFormat/>
    <w:rsid w:val="00FC1DE6"/>
    <w:rPr>
      <w:b/>
      <w:bCs/>
    </w:rPr>
  </w:style>
  <w:style w:type="character" w:styleId="Seitenzahl">
    <w:name w:val="page number"/>
    <w:basedOn w:val="Absatzstandardschriftart"/>
    <w:uiPriority w:val="99"/>
    <w:semiHidden/>
    <w:unhideWhenUsed/>
    <w:rsid w:val="00D2576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7FA3"/>
    <w:rPr>
      <w:rFonts w:eastAsia="Times New Roman"/>
      <w:sz w:val="24"/>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5C0C1D"/>
    <w:rPr>
      <w:rFonts w:ascii="Lucida Grande" w:hAnsi="Lucida Grande" w:cs="Lucida Grande"/>
      <w:sz w:val="18"/>
      <w:szCs w:val="18"/>
    </w:rPr>
  </w:style>
  <w:style w:type="character" w:customStyle="1" w:styleId="SprechblasentextZeichen">
    <w:name w:val="Sprechblasentext Zeichen"/>
    <w:link w:val="Sprechblasentext"/>
    <w:uiPriority w:val="99"/>
    <w:semiHidden/>
    <w:rsid w:val="005C0C1D"/>
    <w:rPr>
      <w:rFonts w:ascii="Lucida Grande" w:eastAsia="Times New Roman" w:hAnsi="Lucida Grande" w:cs="Lucida Grande"/>
      <w:sz w:val="18"/>
      <w:szCs w:val="18"/>
      <w:lang w:val="fr-FR"/>
    </w:rPr>
  </w:style>
  <w:style w:type="paragraph" w:styleId="Kopfzeile">
    <w:name w:val="header"/>
    <w:basedOn w:val="Standard"/>
    <w:link w:val="KopfzeileZeichen"/>
    <w:uiPriority w:val="99"/>
    <w:unhideWhenUsed/>
    <w:rsid w:val="00A86651"/>
    <w:pPr>
      <w:tabs>
        <w:tab w:val="center" w:pos="4536"/>
        <w:tab w:val="right" w:pos="9072"/>
      </w:tabs>
    </w:pPr>
  </w:style>
  <w:style w:type="character" w:customStyle="1" w:styleId="KopfzeileZeichen">
    <w:name w:val="Kopfzeile Zeichen"/>
    <w:link w:val="Kopfzeile"/>
    <w:uiPriority w:val="99"/>
    <w:rsid w:val="00A86651"/>
    <w:rPr>
      <w:rFonts w:eastAsia="Times New Roman"/>
      <w:lang w:val="fr-FR"/>
    </w:rPr>
  </w:style>
  <w:style w:type="paragraph" w:styleId="Fuzeile">
    <w:name w:val="footer"/>
    <w:basedOn w:val="Standard"/>
    <w:link w:val="FuzeileZeichen"/>
    <w:uiPriority w:val="99"/>
    <w:unhideWhenUsed/>
    <w:rsid w:val="00A86651"/>
    <w:pPr>
      <w:tabs>
        <w:tab w:val="center" w:pos="4536"/>
        <w:tab w:val="right" w:pos="9072"/>
      </w:tabs>
    </w:pPr>
  </w:style>
  <w:style w:type="character" w:customStyle="1" w:styleId="FuzeileZeichen">
    <w:name w:val="Fußzeile Zeichen"/>
    <w:link w:val="Fuzeile"/>
    <w:uiPriority w:val="99"/>
    <w:rsid w:val="00A86651"/>
    <w:rPr>
      <w:rFonts w:eastAsia="Times New Roman"/>
      <w:lang w:val="fr-FR"/>
    </w:rPr>
  </w:style>
  <w:style w:type="character" w:styleId="Link">
    <w:name w:val="Hyperlink"/>
    <w:uiPriority w:val="99"/>
    <w:unhideWhenUsed/>
    <w:rsid w:val="00B525A4"/>
    <w:rPr>
      <w:color w:val="0000FF"/>
      <w:u w:val="single"/>
    </w:rPr>
  </w:style>
  <w:style w:type="character" w:customStyle="1" w:styleId="il">
    <w:name w:val="il"/>
    <w:basedOn w:val="Absatzstandardschriftart"/>
    <w:rsid w:val="00B0506F"/>
  </w:style>
  <w:style w:type="character" w:customStyle="1" w:styleId="x-text-content-text-subheadline">
    <w:name w:val="x-text-content-text-subheadline"/>
    <w:basedOn w:val="Absatzstandardschriftart"/>
    <w:rsid w:val="00FC1DE6"/>
  </w:style>
  <w:style w:type="character" w:styleId="Betont">
    <w:name w:val="Strong"/>
    <w:uiPriority w:val="22"/>
    <w:qFormat/>
    <w:rsid w:val="00FC1DE6"/>
    <w:rPr>
      <w:b/>
      <w:bCs/>
    </w:rPr>
  </w:style>
  <w:style w:type="character" w:styleId="Seitenzahl">
    <w:name w:val="page number"/>
    <w:basedOn w:val="Absatzstandardschriftart"/>
    <w:uiPriority w:val="99"/>
    <w:semiHidden/>
    <w:unhideWhenUsed/>
    <w:rsid w:val="00D25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s://devigier.ch/media/media-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9F7637C218514F893D411B751E8CCB" ma:contentTypeVersion="15" ma:contentTypeDescription="Create a new document." ma:contentTypeScope="" ma:versionID="912c8f33a78dabea2d32540d11dd3c46">
  <xsd:schema xmlns:xsd="http://www.w3.org/2001/XMLSchema" xmlns:xs="http://www.w3.org/2001/XMLSchema" xmlns:p="http://schemas.microsoft.com/office/2006/metadata/properties" xmlns:ns3="c5c04052-c567-409d-908d-69320987ce93" xmlns:ns4="e54881f5-97c5-4131-b27a-1b2d27a79e38" targetNamespace="http://schemas.microsoft.com/office/2006/metadata/properties" ma:root="true" ma:fieldsID="791249a64bf48814e7b3a425d6cdba84" ns3:_="" ns4:_="">
    <xsd:import namespace="c5c04052-c567-409d-908d-69320987ce93"/>
    <xsd:import namespace="e54881f5-97c5-4131-b27a-1b2d27a79e38"/>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04052-c567-409d-908d-69320987ce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54881f5-97c5-4131-b27a-1b2d27a79e3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2A9250-065D-4AD4-89B7-2F1BDF6D67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289E3A-D142-41ED-B20C-23AEFB7D56DE}">
  <ds:schemaRefs>
    <ds:schemaRef ds:uri="http://schemas.microsoft.com/sharepoint/v3/contenttype/forms"/>
  </ds:schemaRefs>
</ds:datastoreItem>
</file>

<file path=customXml/itemProps3.xml><?xml version="1.0" encoding="utf-8"?>
<ds:datastoreItem xmlns:ds="http://schemas.openxmlformats.org/officeDocument/2006/customXml" ds:itemID="{436F49DA-ED1E-4DEB-B943-2A2F39E38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c04052-c567-409d-908d-69320987ce93"/>
    <ds:schemaRef ds:uri="e54881f5-97c5-4131-b27a-1b2d27a79e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1236</Words>
  <Characters>7793</Characters>
  <Application>Microsoft Macintosh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SOPHIE</cp:lastModifiedBy>
  <cp:revision>3</cp:revision>
  <dcterms:created xsi:type="dcterms:W3CDTF">2020-06-04T12:22:00Z</dcterms:created>
  <dcterms:modified xsi:type="dcterms:W3CDTF">2020-06-05T07:03:00Z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0x010100A99F7637C218514F893D411B751E8CCB</vt:lpwstr>
  </property>
</Properties>
</file>