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2882" w14:textId="77777777" w:rsidR="00FF1194" w:rsidRPr="003054D0" w:rsidRDefault="00FF1194" w:rsidP="00FF1194">
      <w:pPr>
        <w:widowControl w:val="0"/>
        <w:autoSpaceDE w:val="0"/>
        <w:autoSpaceDN w:val="0"/>
        <w:adjustRightInd w:val="0"/>
        <w:rPr>
          <w:rFonts w:asciiTheme="majorHAnsi" w:eastAsia="MS Mincho" w:hAnsiTheme="majorHAnsi" w:cstheme="majorHAnsi"/>
          <w:b/>
          <w:bCs/>
          <w:sz w:val="22"/>
          <w:szCs w:val="22"/>
          <w:lang w:val="fr-CH"/>
        </w:rPr>
      </w:pPr>
      <w:r w:rsidRPr="003054D0">
        <w:rPr>
          <w:rFonts w:asciiTheme="majorHAnsi" w:eastAsia="MS Mincho" w:hAnsiTheme="majorHAnsi" w:cstheme="majorHAnsi"/>
          <w:b/>
          <w:bCs/>
          <w:sz w:val="22"/>
          <w:szCs w:val="22"/>
          <w:lang w:val="fr-CH"/>
        </w:rPr>
        <w:t>Communiqué de presse</w:t>
      </w:r>
    </w:p>
    <w:p w14:paraId="20E21C5D" w14:textId="77777777" w:rsidR="00162A17" w:rsidRPr="003054D0" w:rsidRDefault="00162A17" w:rsidP="00162A17">
      <w:pPr>
        <w:widowControl w:val="0"/>
        <w:autoSpaceDE w:val="0"/>
        <w:autoSpaceDN w:val="0"/>
        <w:adjustRightInd w:val="0"/>
        <w:rPr>
          <w:rFonts w:asciiTheme="majorHAnsi" w:hAnsiTheme="majorHAnsi" w:cstheme="majorHAnsi"/>
          <w:sz w:val="22"/>
          <w:szCs w:val="22"/>
          <w:lang w:val="fr-CH"/>
        </w:rPr>
      </w:pPr>
    </w:p>
    <w:p w14:paraId="677A6141" w14:textId="77777777" w:rsidR="003054D0" w:rsidRPr="003054D0" w:rsidRDefault="00FF1194" w:rsidP="00162A17">
      <w:pPr>
        <w:widowControl w:val="0"/>
        <w:autoSpaceDE w:val="0"/>
        <w:autoSpaceDN w:val="0"/>
        <w:adjustRightInd w:val="0"/>
        <w:rPr>
          <w:rFonts w:asciiTheme="majorHAnsi" w:hAnsiTheme="majorHAnsi" w:cstheme="majorHAnsi"/>
          <w:sz w:val="22"/>
          <w:szCs w:val="22"/>
          <w:lang w:val="fr-CH"/>
        </w:rPr>
      </w:pPr>
      <w:r w:rsidRPr="003054D0">
        <w:rPr>
          <w:rFonts w:asciiTheme="majorHAnsi" w:eastAsia="MS Mincho" w:hAnsiTheme="majorHAnsi" w:cstheme="majorHAnsi"/>
          <w:sz w:val="22"/>
          <w:szCs w:val="22"/>
          <w:lang w:val="fr-CH"/>
        </w:rPr>
        <w:t>Prix W.A. de Vigier</w:t>
      </w:r>
      <w:r w:rsidR="00BE0E4F" w:rsidRPr="003054D0">
        <w:rPr>
          <w:rFonts w:asciiTheme="majorHAnsi" w:hAnsiTheme="majorHAnsi" w:cstheme="majorHAnsi"/>
          <w:sz w:val="22"/>
          <w:szCs w:val="22"/>
          <w:lang w:val="fr-CH"/>
        </w:rPr>
        <w:t xml:space="preserve"> 2021</w:t>
      </w:r>
    </w:p>
    <w:p w14:paraId="0EA5526F" w14:textId="368355AB" w:rsidR="00162A17" w:rsidRPr="003054D0" w:rsidRDefault="003054D0" w:rsidP="00162A17">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hAnsiTheme="majorHAnsi" w:cstheme="majorHAnsi"/>
          <w:b/>
          <w:sz w:val="28"/>
          <w:szCs w:val="28"/>
          <w:lang w:val="fr-CH"/>
        </w:rPr>
        <w:t>«Nous avons finalement sélectionné 17 start-ups au lieu de notre traditionnel Top 16»</w:t>
      </w:r>
    </w:p>
    <w:p w14:paraId="77582950" w14:textId="77777777" w:rsidR="00162A17" w:rsidRPr="003054D0" w:rsidRDefault="00162A17" w:rsidP="00162A17">
      <w:pPr>
        <w:widowControl w:val="0"/>
        <w:autoSpaceDE w:val="0"/>
        <w:autoSpaceDN w:val="0"/>
        <w:adjustRightInd w:val="0"/>
        <w:rPr>
          <w:rFonts w:asciiTheme="majorHAnsi" w:hAnsiTheme="majorHAnsi" w:cstheme="majorHAnsi"/>
          <w:sz w:val="22"/>
          <w:szCs w:val="22"/>
          <w:lang w:val="fr-CH"/>
        </w:rPr>
      </w:pPr>
    </w:p>
    <w:p w14:paraId="0C35DCB9" w14:textId="6157B8E3" w:rsidR="00162A17" w:rsidRPr="003054D0" w:rsidRDefault="003054D0" w:rsidP="00162A17">
      <w:pPr>
        <w:widowControl w:val="0"/>
        <w:autoSpaceDE w:val="0"/>
        <w:autoSpaceDN w:val="0"/>
        <w:adjustRightInd w:val="0"/>
        <w:rPr>
          <w:rFonts w:asciiTheme="majorHAnsi" w:hAnsiTheme="majorHAnsi" w:cstheme="majorHAnsi"/>
          <w:b/>
          <w:sz w:val="22"/>
          <w:szCs w:val="22"/>
          <w:lang w:val="fr-CH"/>
        </w:rPr>
      </w:pPr>
      <w:r w:rsidRPr="003054D0">
        <w:rPr>
          <w:rFonts w:asciiTheme="majorHAnsi" w:hAnsiTheme="majorHAnsi" w:cstheme="majorHAnsi"/>
          <w:sz w:val="22"/>
          <w:szCs w:val="22"/>
          <w:lang w:val="fr-CH"/>
        </w:rPr>
        <w:t xml:space="preserve">Soleure, le 10 mars 2021 </w:t>
      </w:r>
      <w:r w:rsidRPr="003054D0">
        <w:rPr>
          <w:rFonts w:asciiTheme="majorHAnsi" w:hAnsiTheme="majorHAnsi" w:cstheme="majorHAnsi"/>
          <w:b/>
          <w:sz w:val="22"/>
          <w:szCs w:val="22"/>
          <w:lang w:val="fr-CH"/>
        </w:rPr>
        <w:t>17 start-ups ont franchi une étape supplémentaire dans la course pour l’une des cinq bourses W.A. de Vigier très convoitées Les start-ups ont été sélectionnées parmi une soixantaine de jeunes entreprises ayant présenté leur idée au Conseil de fondation et à de nombreux internautes lors du Selection Day début février. Jusqu’à cinq start-ups recevront CHF 100 000.– chacune lors de la remise des prix le 16 juin 2021.</w:t>
      </w:r>
    </w:p>
    <w:p w14:paraId="09616606" w14:textId="2F993757" w:rsidR="00162A17" w:rsidRPr="003054D0" w:rsidRDefault="00162A17" w:rsidP="00162A17">
      <w:pPr>
        <w:widowControl w:val="0"/>
        <w:autoSpaceDE w:val="0"/>
        <w:autoSpaceDN w:val="0"/>
        <w:adjustRightInd w:val="0"/>
        <w:rPr>
          <w:rFonts w:asciiTheme="majorHAnsi" w:hAnsiTheme="majorHAnsi" w:cstheme="majorHAnsi"/>
          <w:sz w:val="22"/>
          <w:szCs w:val="22"/>
          <w:lang w:val="fr-CH"/>
        </w:rPr>
      </w:pPr>
    </w:p>
    <w:p w14:paraId="23ECCB31" w14:textId="08320F1F" w:rsidR="00FF1194" w:rsidRPr="003054D0" w:rsidRDefault="00FF1194" w:rsidP="00162A17">
      <w:pPr>
        <w:widowControl w:val="0"/>
        <w:autoSpaceDE w:val="0"/>
        <w:autoSpaceDN w:val="0"/>
        <w:adjustRightInd w:val="0"/>
        <w:rPr>
          <w:rFonts w:asciiTheme="majorHAnsi" w:hAnsiTheme="majorHAnsi" w:cstheme="majorHAnsi"/>
          <w:sz w:val="22"/>
          <w:szCs w:val="22"/>
          <w:lang w:val="fr-CH"/>
        </w:rPr>
      </w:pPr>
      <w:r w:rsidRPr="003054D0">
        <w:rPr>
          <w:rFonts w:asciiTheme="majorHAnsi" w:hAnsiTheme="majorHAnsi" w:cstheme="majorHAnsi"/>
          <w:sz w:val="22"/>
          <w:szCs w:val="22"/>
          <w:lang w:val="fr-CH"/>
        </w:rPr>
        <w:t xml:space="preserve">À l’occasion du «Selection Day» </w:t>
      </w:r>
      <w:r w:rsidR="0017413F" w:rsidRPr="003054D0">
        <w:rPr>
          <w:rFonts w:asciiTheme="majorHAnsi" w:hAnsiTheme="majorHAnsi" w:cstheme="majorHAnsi"/>
          <w:sz w:val="22"/>
          <w:szCs w:val="22"/>
          <w:lang w:val="fr-CH"/>
        </w:rPr>
        <w:t>le</w:t>
      </w:r>
      <w:r w:rsidRPr="003054D0">
        <w:rPr>
          <w:rFonts w:asciiTheme="majorHAnsi" w:hAnsiTheme="majorHAnsi" w:cstheme="majorHAnsi"/>
          <w:sz w:val="22"/>
          <w:szCs w:val="22"/>
          <w:lang w:val="fr-CH"/>
        </w:rPr>
        <w:t xml:space="preserve"> 4 février, </w:t>
      </w:r>
      <w:r w:rsidR="0017413F" w:rsidRPr="003054D0">
        <w:rPr>
          <w:rFonts w:asciiTheme="majorHAnsi" w:hAnsiTheme="majorHAnsi" w:cstheme="majorHAnsi"/>
          <w:sz w:val="22"/>
          <w:szCs w:val="22"/>
          <w:lang w:val="fr-CH"/>
        </w:rPr>
        <w:t xml:space="preserve">le top </w:t>
      </w:r>
      <w:r w:rsidRPr="003054D0">
        <w:rPr>
          <w:rFonts w:asciiTheme="majorHAnsi" w:hAnsiTheme="majorHAnsi" w:cstheme="majorHAnsi"/>
          <w:sz w:val="22"/>
          <w:szCs w:val="22"/>
          <w:lang w:val="fr-CH"/>
        </w:rPr>
        <w:t>17 des 60 start-up alors en lice ont été sélectionnées. Un total de 217 candidatures nous est parvenu cette année.</w:t>
      </w:r>
    </w:p>
    <w:p w14:paraId="07D471BE" w14:textId="77777777" w:rsidR="00FF1194" w:rsidRPr="003054D0" w:rsidRDefault="00FF1194" w:rsidP="00162A17">
      <w:pPr>
        <w:widowControl w:val="0"/>
        <w:autoSpaceDE w:val="0"/>
        <w:autoSpaceDN w:val="0"/>
        <w:adjustRightInd w:val="0"/>
        <w:rPr>
          <w:rFonts w:asciiTheme="majorHAnsi" w:hAnsiTheme="majorHAnsi" w:cstheme="majorHAnsi"/>
          <w:sz w:val="22"/>
          <w:szCs w:val="22"/>
          <w:lang w:val="fr-CH"/>
        </w:rPr>
      </w:pPr>
    </w:p>
    <w:p w14:paraId="762D26B7" w14:textId="4FBAA51D" w:rsidR="00162E75" w:rsidRPr="003054D0" w:rsidRDefault="003054D0" w:rsidP="00162A17">
      <w:pPr>
        <w:widowControl w:val="0"/>
        <w:autoSpaceDE w:val="0"/>
        <w:autoSpaceDN w:val="0"/>
        <w:adjustRightInd w:val="0"/>
        <w:rPr>
          <w:rFonts w:asciiTheme="majorHAnsi" w:hAnsiTheme="majorHAnsi" w:cstheme="majorHAnsi"/>
          <w:sz w:val="22"/>
          <w:szCs w:val="22"/>
          <w:lang w:val="fr-CH"/>
        </w:rPr>
      </w:pPr>
      <w:r w:rsidRPr="003054D0">
        <w:rPr>
          <w:rFonts w:asciiTheme="majorHAnsi" w:hAnsiTheme="majorHAnsi" w:cstheme="majorHAnsi"/>
          <w:sz w:val="22"/>
          <w:szCs w:val="22"/>
          <w:lang w:val="fr-CH"/>
        </w:rPr>
        <w:t>«Nous avons eu tellement de difficultés à sélectionner 16 start-ups que nous en avons finalement retenu 17 cette année» nous confie Regula Buob, Directrice de la Fondation W.A. de Vigier. «La deuxième singularité de ce Selection Day a été son organisation en direct en streaming. Tandis que nous convions généralement quelque 60 invités sélectionnés, cette année ce sont entre 350 et 410 personnes qui ont visionné les présentations en ligne. Même si finalement seules 17 start-ups participeront à la prochaine étape, toutes ont eu la possibilité de présenter leur idée devant une large audience» conclut Madame Buob.</w:t>
      </w:r>
    </w:p>
    <w:p w14:paraId="3D33264E" w14:textId="77777777" w:rsidR="00162E75" w:rsidRPr="003054D0" w:rsidRDefault="00162E75" w:rsidP="00162A17">
      <w:pPr>
        <w:widowControl w:val="0"/>
        <w:autoSpaceDE w:val="0"/>
        <w:autoSpaceDN w:val="0"/>
        <w:adjustRightInd w:val="0"/>
        <w:rPr>
          <w:rFonts w:asciiTheme="majorHAnsi" w:hAnsiTheme="majorHAnsi" w:cstheme="majorHAnsi"/>
          <w:sz w:val="22"/>
          <w:szCs w:val="22"/>
          <w:lang w:val="fr-CH"/>
        </w:rPr>
      </w:pPr>
    </w:p>
    <w:p w14:paraId="629F5D09" w14:textId="628C5786"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hAnsiTheme="majorHAnsi" w:cstheme="majorHAnsi"/>
          <w:sz w:val="22"/>
          <w:szCs w:val="22"/>
          <w:lang w:val="fr-CH"/>
        </w:rPr>
        <w:t>Les qualités des candidates et candidats du Top 17 vont maintenant être évaluées, en termes de leadership notamment, dans le cadre d’un entretien approfondi avec le Conseil de fondation. Dans ce cadre, des aspects tels que la capacité à gérer une équipe et l’esprit d’entreprise seront également pris en compte comme critères de sélection. Des rapports d’experts sont également établis. Ensuite, les dix meilleurs candidats seront sélectionnés lors de deux jours de présentation. Les finalistes qui auront l’opportunité de présenter leurs produits très innovants au public invité à la remise des prix organisée le 16 juin 2021 sont désignés à la mi-avril.</w:t>
      </w:r>
    </w:p>
    <w:p w14:paraId="16C120AE" w14:textId="77777777" w:rsidR="008D5D65" w:rsidRPr="003054D0" w:rsidRDefault="008D5D65" w:rsidP="008D5D65">
      <w:pPr>
        <w:widowControl w:val="0"/>
        <w:autoSpaceDE w:val="0"/>
        <w:autoSpaceDN w:val="0"/>
        <w:adjustRightInd w:val="0"/>
        <w:rPr>
          <w:rFonts w:asciiTheme="majorHAnsi" w:hAnsiTheme="majorHAnsi" w:cstheme="majorHAnsi"/>
          <w:sz w:val="22"/>
          <w:szCs w:val="22"/>
          <w:lang w:val="fr-CH"/>
        </w:rPr>
      </w:pPr>
    </w:p>
    <w:p w14:paraId="003A9629" w14:textId="77777777" w:rsidR="008D5D65" w:rsidRPr="003054D0" w:rsidRDefault="008D5D65" w:rsidP="00162A17">
      <w:pPr>
        <w:widowControl w:val="0"/>
        <w:autoSpaceDE w:val="0"/>
        <w:autoSpaceDN w:val="0"/>
        <w:adjustRightInd w:val="0"/>
        <w:rPr>
          <w:rFonts w:asciiTheme="majorHAnsi" w:hAnsiTheme="majorHAnsi" w:cstheme="majorHAnsi"/>
          <w:sz w:val="22"/>
          <w:szCs w:val="22"/>
          <w:lang w:val="fr-CH"/>
        </w:rPr>
      </w:pPr>
    </w:p>
    <w:p w14:paraId="3F518871" w14:textId="21DBE1BC" w:rsidR="00162A17" w:rsidRPr="003054D0" w:rsidRDefault="0017413F" w:rsidP="00162A17">
      <w:pPr>
        <w:widowControl w:val="0"/>
        <w:autoSpaceDE w:val="0"/>
        <w:autoSpaceDN w:val="0"/>
        <w:adjustRightInd w:val="0"/>
        <w:rPr>
          <w:rFonts w:asciiTheme="majorHAnsi" w:hAnsiTheme="majorHAnsi" w:cstheme="majorHAnsi"/>
          <w:b/>
          <w:sz w:val="22"/>
          <w:szCs w:val="22"/>
          <w:lang w:val="fr-CH"/>
        </w:rPr>
      </w:pPr>
      <w:r w:rsidRPr="003054D0">
        <w:rPr>
          <w:rFonts w:asciiTheme="majorHAnsi" w:hAnsiTheme="majorHAnsi" w:cstheme="majorHAnsi"/>
          <w:b/>
          <w:sz w:val="22"/>
          <w:szCs w:val="22"/>
          <w:lang w:val="fr-CH"/>
        </w:rPr>
        <w:t>Le top 16 se compose comme suit (par ordre alphabétique)</w:t>
      </w:r>
    </w:p>
    <w:p w14:paraId="35EC3D67" w14:textId="77777777" w:rsidR="00162A17" w:rsidRPr="003054D0" w:rsidRDefault="00162A17" w:rsidP="00162A17">
      <w:pPr>
        <w:widowControl w:val="0"/>
        <w:autoSpaceDE w:val="0"/>
        <w:autoSpaceDN w:val="0"/>
        <w:adjustRightInd w:val="0"/>
        <w:rPr>
          <w:rFonts w:asciiTheme="majorHAnsi" w:hAnsiTheme="majorHAnsi" w:cstheme="majorHAnsi"/>
          <w:sz w:val="22"/>
          <w:szCs w:val="22"/>
          <w:lang w:val="fr-CH"/>
        </w:rPr>
      </w:pPr>
    </w:p>
    <w:p w14:paraId="3BEC001B" w14:textId="77777777" w:rsidR="00AF3930" w:rsidRPr="003054D0" w:rsidRDefault="00AF3930" w:rsidP="00AF3930">
      <w:pPr>
        <w:rPr>
          <w:rFonts w:asciiTheme="majorHAnsi" w:hAnsiTheme="majorHAnsi" w:cstheme="majorHAnsi"/>
          <w:b/>
          <w:bCs/>
          <w:i/>
          <w:iCs/>
          <w:sz w:val="22"/>
          <w:szCs w:val="22"/>
          <w:lang w:val="fr-CH"/>
        </w:rPr>
      </w:pPr>
      <w:r w:rsidRPr="003054D0">
        <w:rPr>
          <w:rFonts w:asciiTheme="majorHAnsi" w:hAnsiTheme="majorHAnsi" w:cstheme="majorHAnsi"/>
          <w:b/>
          <w:bCs/>
          <w:i/>
          <w:iCs/>
          <w:sz w:val="22"/>
          <w:szCs w:val="22"/>
          <w:lang w:val="fr-CH"/>
        </w:rPr>
        <w:t>cellvie AG de Matzingen (TG)</w:t>
      </w:r>
      <w:r w:rsidRPr="003054D0">
        <w:rPr>
          <w:rFonts w:asciiTheme="majorHAnsi" w:hAnsiTheme="majorHAnsi" w:cstheme="majorHAnsi"/>
          <w:b/>
          <w:bCs/>
          <w:iCs/>
          <w:sz w:val="22"/>
          <w:szCs w:val="22"/>
          <w:lang w:val="fr-CH"/>
        </w:rPr>
        <w:t xml:space="preserve"> – Utilisation du potentiel thérapeutique des mitochondries</w:t>
      </w:r>
    </w:p>
    <w:p w14:paraId="69C3EF55" w14:textId="67CCD96F" w:rsidR="004240BB" w:rsidRPr="003054D0" w:rsidRDefault="00AF3930" w:rsidP="00AF3930">
      <w:pPr>
        <w:autoSpaceDE w:val="0"/>
        <w:autoSpaceDN w:val="0"/>
        <w:rPr>
          <w:rFonts w:asciiTheme="majorHAnsi" w:hAnsiTheme="majorHAnsi" w:cstheme="majorHAnsi"/>
          <w:sz w:val="22"/>
          <w:szCs w:val="22"/>
          <w:lang w:val="fr-CH"/>
        </w:rPr>
      </w:pPr>
      <w:r w:rsidRPr="003054D0">
        <w:rPr>
          <w:rFonts w:asciiTheme="majorHAnsi" w:hAnsiTheme="majorHAnsi" w:cstheme="majorHAnsi"/>
          <w:bCs/>
          <w:iCs/>
          <w:sz w:val="22"/>
          <w:szCs w:val="22"/>
          <w:lang w:val="fr-CH"/>
        </w:rPr>
        <w:t>En cas d’interruption du flux sanguin dans une partie du corps, des cellules sont endommagées ou meurent, même lorsque la circulation est rétablie. C’est le cas par exemple en cas d’infarctus ou d’AVC, qui tuent des millions de personnes chaque année. cellvie transplante des mitochondries viables, la «centrale électrique» des cellules, vers les cellules endommagées, comme le ferait le starter d’une voiture. Les cellules peuvent relancer leur métabolisme énergétique et survivre. La thérapie mitochondriale développée par cette spin-off d’Harvard est d’abord destinée aux receveurs de dons d’organes.</w:t>
      </w:r>
    </w:p>
    <w:p w14:paraId="724CA4E0" w14:textId="77777777" w:rsidR="008039EA" w:rsidRPr="003054D0" w:rsidRDefault="008039EA" w:rsidP="00162A17">
      <w:pPr>
        <w:widowControl w:val="0"/>
        <w:autoSpaceDE w:val="0"/>
        <w:autoSpaceDN w:val="0"/>
        <w:adjustRightInd w:val="0"/>
        <w:rPr>
          <w:rFonts w:asciiTheme="majorHAnsi" w:hAnsiTheme="majorHAnsi" w:cstheme="majorHAnsi"/>
          <w:sz w:val="22"/>
          <w:szCs w:val="22"/>
          <w:lang w:val="fr-CH"/>
        </w:rPr>
      </w:pPr>
    </w:p>
    <w:p w14:paraId="2FD8635C" w14:textId="77777777" w:rsidR="00AF3930" w:rsidRPr="003054D0" w:rsidRDefault="00AF3930" w:rsidP="00AF3930">
      <w:pPr>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Cowa Thermal Solutions AG de Root (LU) – Systèmes de pompes à chaleur avec plus grande capacité de stockage</w:t>
      </w:r>
    </w:p>
    <w:p w14:paraId="2B440C92" w14:textId="1B6896E4" w:rsidR="00C52964" w:rsidRPr="003054D0" w:rsidRDefault="00AF3930" w:rsidP="00AF3930">
      <w:pPr>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Les pompes à chaleur photovoltaïques sont la référence en matière de chauffage à faibles émissions de CO</w:t>
      </w:r>
      <w:r w:rsidRPr="003054D0">
        <w:rPr>
          <w:rFonts w:asciiTheme="majorHAnsi" w:hAnsiTheme="majorHAnsi" w:cstheme="majorHAnsi"/>
          <w:sz w:val="22"/>
          <w:szCs w:val="22"/>
          <w:vertAlign w:val="subscript"/>
          <w:lang w:val="fr-CH"/>
        </w:rPr>
        <w:t>2</w:t>
      </w:r>
      <w:r w:rsidRPr="003054D0">
        <w:rPr>
          <w:rFonts w:asciiTheme="majorHAnsi" w:hAnsiTheme="majorHAnsi" w:cstheme="majorHAnsi"/>
          <w:sz w:val="22"/>
          <w:szCs w:val="22"/>
          <w:lang w:val="fr-CH"/>
        </w:rPr>
        <w:t xml:space="preserve"> des bâtiments. Le problème est que, si le courant photovoltaïque est disponible en excédent </w:t>
      </w:r>
      <w:r w:rsidRPr="003054D0">
        <w:rPr>
          <w:rFonts w:asciiTheme="majorHAnsi" w:hAnsiTheme="majorHAnsi" w:cstheme="majorHAnsi"/>
          <w:sz w:val="22"/>
          <w:szCs w:val="22"/>
          <w:lang w:val="fr-CH"/>
        </w:rPr>
        <w:lastRenderedPageBreak/>
        <w:t>pendant toute la journée, il manque la nuit et au petit matin. La technologie de Cowa multiplie jusqu’à 4 fois la capacité de stockage des accumulateurs thermiques à eau ordinaires. Ainsi, le niveau d’autarcie en chauffage des systèmes usuels peut passer d’environ 30% à 70%.</w:t>
      </w:r>
    </w:p>
    <w:p w14:paraId="6CA3080A"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3BF25252"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dimpora SA de Zurich (ZH) – Des matières naturelles performantes pour les vêtements d’extérieur</w:t>
      </w:r>
    </w:p>
    <w:p w14:paraId="2D344B52" w14:textId="4B13B24F" w:rsidR="00C52964" w:rsidRPr="003054D0" w:rsidRDefault="00AF3930" w:rsidP="00AF3930">
      <w:pPr>
        <w:widowControl w:val="0"/>
        <w:autoSpaceDE w:val="0"/>
        <w:autoSpaceDN w:val="0"/>
        <w:adjustRightInd w:val="0"/>
        <w:rPr>
          <w:rFonts w:asciiTheme="majorHAnsi" w:hAnsiTheme="majorHAnsi" w:cstheme="majorHAnsi"/>
          <w:sz w:val="22"/>
          <w:szCs w:val="22"/>
          <w:lang w:val="fr-CH"/>
        </w:rPr>
      </w:pPr>
      <w:r w:rsidRPr="003054D0">
        <w:rPr>
          <w:rFonts w:asciiTheme="majorHAnsi" w:hAnsiTheme="majorHAnsi" w:cstheme="majorHAnsi"/>
          <w:sz w:val="22"/>
          <w:szCs w:val="22"/>
          <w:lang w:val="fr-CH"/>
        </w:rPr>
        <w:t>Les vêtements d’extérieur actuels pèsent chimiquement sur l’environnement que les amateurs de plein air aiment tant. En outre, ces matières chimiques nuisent à la santé de ceux qui les portent. La spin-off de l’EPFZ dimpora propose aux marques de vêtements d’extérieur une matière bio aussi étanche et respirante que les tissus actuels. Cette matière innovante permet à l’industrie de renoncer aux anciens produits et processus exigeant beaucoup de ressources et nocifs pour l’environnement, au bénéfice d’une solution saine et durable.</w:t>
      </w:r>
    </w:p>
    <w:p w14:paraId="4DAC4B7A" w14:textId="77777777" w:rsidR="00AF3930"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p>
    <w:p w14:paraId="65C6CF7C" w14:textId="77777777" w:rsidR="00AF3930" w:rsidRPr="003054D0" w:rsidRDefault="00AF3930" w:rsidP="00AF3930">
      <w:pPr>
        <w:rPr>
          <w:rFonts w:asciiTheme="majorHAnsi" w:hAnsiTheme="majorHAnsi" w:cstheme="majorHAnsi"/>
          <w:b/>
          <w:i/>
          <w:sz w:val="22"/>
          <w:szCs w:val="22"/>
          <w:lang w:val="fr-CH"/>
        </w:rPr>
      </w:pPr>
      <w:r w:rsidRPr="003054D0">
        <w:rPr>
          <w:rFonts w:asciiTheme="majorHAnsi" w:hAnsiTheme="majorHAnsi" w:cstheme="majorHAnsi"/>
          <w:b/>
          <w:i/>
          <w:sz w:val="22"/>
          <w:szCs w:val="22"/>
          <w:lang w:val="fr-CH"/>
        </w:rPr>
        <w:t xml:space="preserve">Dotphoton SA de Zoug (ZG) – Compression des données d’images grand format sans perte de qualité </w:t>
      </w:r>
    </w:p>
    <w:p w14:paraId="408B3B34" w14:textId="1712B645"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Des secteurs de plus en plus nombreux dépendant d’images de grande qualité, la quantité de données relatives à des grandes images augmente de manière exponentielle. Les solutions actuelles de compression d’image entraînent une perte de qualité ou ne réduisent pas suffisamment les données. Le coût de stockage et de transmission des grosses images devient un obstacle. Dotphoton offre une solution de traitement professionnel des images, qui permet de compresser les données jusqu’à dix fois en garantissant le maintien de la qualité. Ceci permet d’économiser un espace de stockage et de largeur de bande passante de 5 à 10, soit autant que le temps, l’énergie et le coût correspondants.</w:t>
      </w:r>
    </w:p>
    <w:p w14:paraId="386B1C6C"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449047CA"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flowbone SA de Renens (VD) – Gel injectable pour des os de la hanche plus forts chez les patients âgés</w:t>
      </w:r>
    </w:p>
    <w:p w14:paraId="472F75A3" w14:textId="6E1EEEB7"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La prévention des fractures chez les personnes âgées est une question urgente dans notre société vieillissante. Les fractures de la hanche sont les plus chères et celles qui entraînent le plus de conséquences, avec un taux de mortalité alarmant de 20% à un an. Les médicaments agissent peu au niveau de la hanche et les techniques chirurgicales sont invasives. La spin-off de l’EPFL flowbone a développé une nouvelle génération de biomatériaux pouvant être injectés dans les hanches en ambulatoire, afin de restaurer localement la solidité des os et éviter les cassures.</w:t>
      </w:r>
    </w:p>
    <w:p w14:paraId="02C0BE18"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6297F193"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 xml:space="preserve">HemostOD SA de Préverenges (VD) – Indépendance des dons de sang grâce aux plaquettes sur commande </w:t>
      </w:r>
    </w:p>
    <w:p w14:paraId="5A299A32" w14:textId="7A1B7D00" w:rsidR="004240BB"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Les transfusions de plaquettes sauvent de nombreuses vies, mais les stocks sont limités, parce que les dons de sang en sont l’unique source. Outre ces difficultés d’approvisionnement, les transfusions peuvent être contaminées, chères et provoquer des complications mortelles. HemostOD fabrique des plaquettes sur demande à partir de cellules souches manipulées. La technologie de cette start-up permet à tous les patients de bénéficier d’une thérapie à base de thrombocytes présentant moins de risques, ce qui conduit à une guérison plus rapide et à de meilleurs résultats cliniques pour un coût nettement moindre.</w:t>
      </w:r>
    </w:p>
    <w:p w14:paraId="1CC172B6" w14:textId="77777777" w:rsidR="004240BB" w:rsidRPr="003054D0" w:rsidRDefault="004240BB" w:rsidP="00162A17">
      <w:pPr>
        <w:widowControl w:val="0"/>
        <w:autoSpaceDE w:val="0"/>
        <w:autoSpaceDN w:val="0"/>
        <w:adjustRightInd w:val="0"/>
        <w:rPr>
          <w:rFonts w:asciiTheme="majorHAnsi" w:hAnsiTheme="majorHAnsi" w:cstheme="majorHAnsi"/>
          <w:sz w:val="22"/>
          <w:szCs w:val="22"/>
          <w:lang w:val="fr-CH"/>
        </w:rPr>
      </w:pPr>
    </w:p>
    <w:p w14:paraId="62E131E3" w14:textId="77777777" w:rsidR="00AF3930" w:rsidRPr="003054D0" w:rsidRDefault="00AF3930" w:rsidP="00AF3930">
      <w:pPr>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Infrascreen SA de Neuchâtel (NE) – Climatisation pour les serriculteurs</w:t>
      </w:r>
    </w:p>
    <w:p w14:paraId="793D1373" w14:textId="7443AFB9"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Tout le monde doit avoir accès aux légumes bio. Pour ce faire, les serres doivent être plus profitables et plus durables. Infrascreen développe une matière filtrante nano-enrobée qui permet au producteur de gérer beaucoup mieux l’atmosphère à l’intérieur de la serre, sans aucune consommation d’énergie. Cette solution augmente de jusqu’à 80% le produit des récoltes, diminue la consommation d’énergie de plus de 20% et réduit les émissions de CO</w:t>
      </w:r>
      <w:r w:rsidRPr="003054D0">
        <w:rPr>
          <w:rFonts w:asciiTheme="majorHAnsi" w:hAnsiTheme="majorHAnsi" w:cstheme="majorHAnsi"/>
          <w:sz w:val="22"/>
          <w:szCs w:val="22"/>
          <w:vertAlign w:val="subscript"/>
          <w:lang w:val="fr-CH"/>
        </w:rPr>
        <w:t>2</w:t>
      </w:r>
      <w:r w:rsidRPr="003054D0">
        <w:rPr>
          <w:rFonts w:asciiTheme="majorHAnsi" w:hAnsiTheme="majorHAnsi" w:cstheme="majorHAnsi"/>
          <w:sz w:val="22"/>
          <w:szCs w:val="22"/>
          <w:lang w:val="fr-CH"/>
        </w:rPr>
        <w:t>.</w:t>
      </w:r>
    </w:p>
    <w:p w14:paraId="320DE1FF"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07DB84DB" w14:textId="77777777" w:rsidR="00E25ED5" w:rsidRDefault="00E25ED5">
      <w:pPr>
        <w:rPr>
          <w:rFonts w:asciiTheme="majorHAnsi" w:hAnsiTheme="majorHAnsi" w:cstheme="majorHAnsi"/>
          <w:b/>
          <w:i/>
          <w:sz w:val="22"/>
          <w:szCs w:val="22"/>
          <w:lang w:val="fr-CH"/>
        </w:rPr>
      </w:pPr>
      <w:r>
        <w:rPr>
          <w:rFonts w:asciiTheme="majorHAnsi" w:hAnsiTheme="majorHAnsi" w:cstheme="majorHAnsi"/>
          <w:b/>
          <w:i/>
          <w:sz w:val="22"/>
          <w:szCs w:val="22"/>
          <w:lang w:val="fr-CH"/>
        </w:rPr>
        <w:br w:type="page"/>
      </w:r>
    </w:p>
    <w:p w14:paraId="12D39427" w14:textId="27BFE5B1" w:rsidR="00AF3930" w:rsidRPr="003054D0" w:rsidRDefault="00AF3930" w:rsidP="00AF3930">
      <w:pPr>
        <w:widowControl w:val="0"/>
        <w:autoSpaceDE w:val="0"/>
        <w:autoSpaceDN w:val="0"/>
        <w:adjustRightInd w:val="0"/>
        <w:rPr>
          <w:rFonts w:asciiTheme="majorHAnsi" w:hAnsiTheme="majorHAnsi" w:cstheme="majorHAnsi"/>
          <w:b/>
          <w:i/>
          <w:sz w:val="22"/>
          <w:szCs w:val="22"/>
          <w:lang w:val="fr-CH"/>
        </w:rPr>
      </w:pPr>
      <w:bookmarkStart w:id="0" w:name="_GoBack"/>
      <w:bookmarkEnd w:id="0"/>
      <w:r w:rsidRPr="003054D0">
        <w:rPr>
          <w:rFonts w:asciiTheme="majorHAnsi" w:hAnsiTheme="majorHAnsi" w:cstheme="majorHAnsi"/>
          <w:b/>
          <w:i/>
          <w:sz w:val="22"/>
          <w:szCs w:val="22"/>
          <w:lang w:val="fr-CH"/>
        </w:rPr>
        <w:lastRenderedPageBreak/>
        <w:t>kaiosID SA de Villars-le-Terroir (VD) – Codes cachés destinés à combattre les contrefaçons et améliorer la traçabilité</w:t>
      </w:r>
    </w:p>
    <w:p w14:paraId="156DF355" w14:textId="59E75723" w:rsidR="00C52964" w:rsidRPr="003054D0" w:rsidRDefault="00AF3930" w:rsidP="00AF3930">
      <w:pPr>
        <w:widowControl w:val="0"/>
        <w:autoSpaceDE w:val="0"/>
        <w:autoSpaceDN w:val="0"/>
        <w:adjustRightInd w:val="0"/>
        <w:rPr>
          <w:rFonts w:asciiTheme="majorHAnsi" w:eastAsiaTheme="minorEastAsia" w:hAnsiTheme="majorHAnsi" w:cstheme="majorHAnsi"/>
          <w:sz w:val="26"/>
          <w:szCs w:val="26"/>
          <w:lang w:val="fr-CH"/>
        </w:rPr>
      </w:pPr>
      <w:r w:rsidRPr="003054D0">
        <w:rPr>
          <w:rFonts w:asciiTheme="majorHAnsi" w:hAnsiTheme="majorHAnsi" w:cstheme="majorHAnsi"/>
          <w:sz w:val="22"/>
          <w:szCs w:val="22"/>
          <w:lang w:val="fr-CH"/>
        </w:rPr>
        <w:t>Les contrefaçons et les marchés gris sont deux problèmes de plus en plus importants pour les fabricants de marques. kaiosID combat les contrefaçons et le commerce illégal en couvrant l’emballage de motifs invisibles détectables via une application intuitive pour smartphones. Une fois imprimés sur l’emballage, les motifs aléatoires deviennent l’empreinte digitale du produit. Ils permettent son authentification (vrai/faux), son identification (traçabilité) et rétablissent la confiance en la marque et sa logistique.</w:t>
      </w:r>
    </w:p>
    <w:p w14:paraId="361CB302"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1CCAAD06" w14:textId="77777777" w:rsidR="00AF3930" w:rsidRPr="003054D0" w:rsidRDefault="00AF3930" w:rsidP="00AF3930">
      <w:pPr>
        <w:widowControl w:val="0"/>
        <w:autoSpaceDE w:val="0"/>
        <w:autoSpaceDN w:val="0"/>
        <w:adjustRightInd w:val="0"/>
        <w:rPr>
          <w:rFonts w:asciiTheme="majorHAnsi" w:eastAsiaTheme="minorEastAsia" w:hAnsiTheme="majorHAnsi" w:cstheme="majorHAnsi"/>
          <w:lang w:val="fr-CH"/>
        </w:rPr>
      </w:pPr>
      <w:r w:rsidRPr="003054D0">
        <w:rPr>
          <w:rFonts w:asciiTheme="majorHAnsi" w:hAnsiTheme="majorHAnsi" w:cstheme="majorHAnsi"/>
          <w:b/>
          <w:i/>
          <w:sz w:val="22"/>
          <w:szCs w:val="22"/>
          <w:lang w:val="fr-CH"/>
        </w:rPr>
        <w:t>LEDCity AG de Zurich (ZH) – Ampoules LED intelligentes pour un éclairage à plus faible consommation d’énergie</w:t>
      </w:r>
    </w:p>
    <w:p w14:paraId="2D31371F" w14:textId="265C76EE" w:rsidR="00C52964" w:rsidRPr="003054D0" w:rsidRDefault="00AF3930" w:rsidP="00AF3930">
      <w:pPr>
        <w:autoSpaceDE w:val="0"/>
        <w:autoSpaceDN w:val="0"/>
        <w:rPr>
          <w:rFonts w:asciiTheme="majorHAnsi" w:hAnsiTheme="majorHAnsi" w:cstheme="majorHAnsi"/>
          <w:sz w:val="22"/>
          <w:szCs w:val="22"/>
          <w:lang w:val="fr-CH"/>
        </w:rPr>
      </w:pPr>
      <w:r w:rsidRPr="003054D0">
        <w:rPr>
          <w:rFonts w:asciiTheme="majorHAnsi" w:hAnsiTheme="majorHAnsi" w:cstheme="majorHAnsi"/>
          <w:sz w:val="22"/>
          <w:szCs w:val="22"/>
          <w:lang w:val="fr-CH"/>
        </w:rPr>
        <w:t>L’éclairage représente jusqu’à 40% de la facture d’énergie des bâtiments commerciaux. LEDCity équipe les sources lumineuses de capteurs et d’algorithmes optimisés grâce à l’intelligence artificielle pour régler l’éclairage automatiquement. Le système «plug and play» mis au point par la start-up est géré depuis une unité de commande décentralisée, ce qui permet de faire l’économie d’un système de commande onéreux. La solution de LEDCity fait baisser la consommation d’énergie de manière draconienne, réduit les coûts d’exploitation de jusqu’à 90% et diminue la pollution de l’environnement.</w:t>
      </w:r>
    </w:p>
    <w:p w14:paraId="541C6917"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42AA11D7" w14:textId="77777777" w:rsidR="00AF3930" w:rsidRPr="003054D0" w:rsidRDefault="00AF3930" w:rsidP="00AF3930">
      <w:pPr>
        <w:autoSpaceDE w:val="0"/>
        <w:autoSpaceDN w:val="0"/>
        <w:rPr>
          <w:rFonts w:asciiTheme="majorHAnsi" w:hAnsiTheme="majorHAnsi" w:cstheme="majorHAnsi"/>
          <w:b/>
          <w:i/>
          <w:sz w:val="22"/>
          <w:szCs w:val="22"/>
          <w:lang w:val="fr-CH"/>
        </w:rPr>
      </w:pPr>
      <w:r w:rsidRPr="003054D0">
        <w:rPr>
          <w:rFonts w:asciiTheme="majorHAnsi" w:hAnsiTheme="majorHAnsi" w:cstheme="majorHAnsi"/>
          <w:b/>
          <w:i/>
          <w:sz w:val="22"/>
          <w:szCs w:val="22"/>
          <w:lang w:val="fr-CH"/>
        </w:rPr>
        <w:t>Lumiphase AG de Zurich (ZH) – Puces à communication optique pour maîtriser l’augmentation du trafic des données</w:t>
      </w:r>
    </w:p>
    <w:p w14:paraId="44677255" w14:textId="117B4CE2" w:rsidR="00C52964" w:rsidRPr="003054D0" w:rsidRDefault="00AF3930" w:rsidP="00AF3930">
      <w:pPr>
        <w:autoSpaceDE w:val="0"/>
        <w:autoSpaceDN w:val="0"/>
        <w:rPr>
          <w:rFonts w:asciiTheme="majorHAnsi" w:hAnsiTheme="majorHAnsi" w:cstheme="majorHAnsi"/>
          <w:sz w:val="22"/>
          <w:szCs w:val="22"/>
          <w:lang w:val="fr-CH"/>
        </w:rPr>
      </w:pPr>
      <w:r w:rsidRPr="003054D0">
        <w:rPr>
          <w:rFonts w:asciiTheme="majorHAnsi" w:hAnsiTheme="majorHAnsi" w:cstheme="majorHAnsi"/>
          <w:sz w:val="22"/>
          <w:szCs w:val="22"/>
          <w:lang w:val="fr-CH"/>
        </w:rPr>
        <w:t>Notre monde se numérise de plus en plus et le trafic des données explose. L’infrastructure soutenant les centres informatiques et les réseaux de télécommunication atteint ses limites; l’industrie a besoin d’une solution radicale. Lumiphase développe des puces de communication optique d’un nouveau genre, très bon marché, compactes et efficaces. Si l’industrie remplace les liaisons actuelles chères et nécessitant beaucoup d’énergie par une nouvelle génération de liaisons électro-optiques, un changement de paradigme de l’architecture des centres informatiques pourra avoir lieu et conduira à une utilisation plus flexible, plus efficace et plus durable des ressources utilisées pour le traitement des données.</w:t>
      </w:r>
    </w:p>
    <w:p w14:paraId="1AE663EF"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56302670"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MIRAI FOODS SA de Wädenswil (ZH) – Culture de vraie viande à partir de cellules souches animales</w:t>
      </w:r>
    </w:p>
    <w:p w14:paraId="07BFBFCF" w14:textId="103F7E8B"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À l’heure actuelle, la production de viande est extrêmement polluante pour l’environnement et viole bien trop souvent le bien-être animal. Elle est responsable d’environ 15% des émissions globales de gaz à effet de serre, alors même que la consommation de viande augmentera vraisemblablement de 70% d’ici à 2050. MIRAI FOODS élève de la vraie viande à partir de cellules souches animales, sans modifier ces cellules génétiquement ou d’une quelconque autre manière. La start-up fait ce que font les animaux, mais à l’extérieur du corps. Cette approche peut réduire les émissions de gaz à effet de serre liées à la consommation de viande de 80% à 90% et aucun animal ne devra souffrir et mourir pour produire de la viande.</w:t>
      </w:r>
    </w:p>
    <w:p w14:paraId="00671CF0"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66A187A8" w14:textId="77777777" w:rsidR="00AF3930" w:rsidRPr="003054D0" w:rsidRDefault="00AF3930" w:rsidP="00AF3930">
      <w:pPr>
        <w:rPr>
          <w:rFonts w:asciiTheme="majorHAnsi" w:hAnsiTheme="majorHAnsi" w:cstheme="majorHAnsi"/>
          <w:b/>
          <w:bCs/>
          <w:i/>
          <w:iCs/>
          <w:sz w:val="22"/>
          <w:szCs w:val="22"/>
          <w:lang w:val="fr-CH"/>
        </w:rPr>
      </w:pPr>
      <w:r w:rsidRPr="003054D0">
        <w:rPr>
          <w:rFonts w:asciiTheme="majorHAnsi" w:hAnsiTheme="majorHAnsi" w:cstheme="majorHAnsi"/>
          <w:b/>
          <w:bCs/>
          <w:i/>
          <w:iCs/>
          <w:sz w:val="22"/>
          <w:szCs w:val="22"/>
          <w:lang w:val="fr-CH"/>
        </w:rPr>
        <w:t>Nagi Bioscience SA d’Ecublens (VD) – Tests sur des microorganismes plutôt que sur des animaux</w:t>
      </w:r>
    </w:p>
    <w:p w14:paraId="355B7B77" w14:textId="5DDE3037" w:rsidR="00C52964" w:rsidRPr="003054D0" w:rsidRDefault="00AF3930" w:rsidP="00AF3930">
      <w:pPr>
        <w:widowControl w:val="0"/>
        <w:autoSpaceDE w:val="0"/>
        <w:autoSpaceDN w:val="0"/>
        <w:adjustRightInd w:val="0"/>
        <w:rPr>
          <w:rFonts w:asciiTheme="majorHAnsi" w:hAnsiTheme="majorHAnsi" w:cstheme="majorHAnsi"/>
          <w:sz w:val="22"/>
          <w:szCs w:val="22"/>
          <w:lang w:val="fr-CH"/>
        </w:rPr>
      </w:pPr>
      <w:r w:rsidRPr="003054D0">
        <w:rPr>
          <w:rFonts w:asciiTheme="majorHAnsi" w:hAnsiTheme="majorHAnsi" w:cstheme="majorHAnsi"/>
          <w:bCs/>
          <w:iCs/>
          <w:sz w:val="22"/>
          <w:szCs w:val="22"/>
          <w:lang w:val="fr-CH"/>
        </w:rPr>
        <w:t>Afin de garantir l’efficacité et l’innocuité des nouvelles substances pour l’homme et l’environnement, celles-ci doivent être testées. Ces tests sont effectués sur des animaux, ce qui prend du temps, coûte cher et pose problème sur le plan éthique. La spin-off de l’EPFL Nagi Bioscience a développé le premier appareil permettant de tester les substances de manière complètement automatique et standardisée sur le micro-organisme C.elegans. Cette alternative durable, éthique et peu coûteuse aux tests sur les animaux fournit en outre des résultats pour l’organisme dans son ensemble.</w:t>
      </w:r>
    </w:p>
    <w:p w14:paraId="5EE4F12D"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44104542" w14:textId="77777777" w:rsidR="00AF3930" w:rsidRPr="003054D0" w:rsidRDefault="00AF3930" w:rsidP="00AF3930">
      <w:pPr>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Oxyle SA de Zurich (ZH) – Technologie avancée d’épuration des eaux usées</w:t>
      </w:r>
    </w:p>
    <w:p w14:paraId="11FB6D97" w14:textId="3F3DD1D0"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La pollution de l’écosystème des eaux de surface et des eaux souterraines par les micropolluants comme les antibiotiques, les pesticides, les œstrogènes et les produits pharmaceutiques est alarmante. La spin-</w:t>
      </w:r>
      <w:r w:rsidRPr="003054D0">
        <w:rPr>
          <w:rFonts w:asciiTheme="majorHAnsi" w:hAnsiTheme="majorHAnsi" w:cstheme="majorHAnsi"/>
          <w:sz w:val="22"/>
          <w:szCs w:val="22"/>
          <w:lang w:val="fr-CH"/>
        </w:rPr>
        <w:lastRenderedPageBreak/>
        <w:t>off de l’EPFZ Oxyle a développé des réacteurs d’un nouveau type destinés au traitement des eaux usées, qui permettent d’éliminer plus de 90% de nombreux micropolluants toxiques, y compris des substances résistantes aux méthodes de traitement existantes. À la différence des solutions actuelles, l’approche de cette start-up est extrêmement efficace et peu coûteuse et recourt à des sources d’énergie durable à faibles émissions de CO</w:t>
      </w:r>
      <w:r w:rsidRPr="003054D0">
        <w:rPr>
          <w:rFonts w:asciiTheme="majorHAnsi" w:hAnsiTheme="majorHAnsi" w:cstheme="majorHAnsi"/>
          <w:sz w:val="22"/>
          <w:szCs w:val="22"/>
          <w:vertAlign w:val="subscript"/>
          <w:lang w:val="fr-CH"/>
        </w:rPr>
        <w:t>2</w:t>
      </w:r>
      <w:r w:rsidRPr="003054D0">
        <w:rPr>
          <w:rFonts w:asciiTheme="majorHAnsi" w:hAnsiTheme="majorHAnsi" w:cstheme="majorHAnsi"/>
          <w:sz w:val="22"/>
          <w:szCs w:val="22"/>
          <w:lang w:val="fr-CH"/>
        </w:rPr>
        <w:t>.</w:t>
      </w:r>
    </w:p>
    <w:p w14:paraId="5BAE7681"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526F64CE"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sz w:val="22"/>
          <w:szCs w:val="22"/>
          <w:lang w:val="fr-CH"/>
        </w:rPr>
      </w:pPr>
      <w:r w:rsidRPr="003054D0">
        <w:rPr>
          <w:rFonts w:asciiTheme="majorHAnsi" w:hAnsiTheme="majorHAnsi" w:cstheme="majorHAnsi"/>
          <w:b/>
          <w:sz w:val="22"/>
          <w:szCs w:val="22"/>
          <w:lang w:val="fr-CH"/>
        </w:rPr>
        <w:t>Testmate Health (ribolifeDx SA) de Chavannes-de-Bogis (VD) – Autotest pour les quatre maladies sexuellement transmissibles les plus courantes</w:t>
      </w:r>
    </w:p>
    <w:p w14:paraId="5FA14F2B" w14:textId="167B027D"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Le temps d’attente pour le résultat des tests d’identification des quatre maladies sexuellement transmissibles les plus fréquentes est de trois à sept jours. Testmate Health est le premier test rapide à domicile fournissant un résultat en quelques minutes, complètement anonyme, pratique et simple. Les résultats sont scannés et téléchargés sur l’application correspondante qui incite le patient à effectuer un suivi complémentaire au besoin.</w:t>
      </w:r>
    </w:p>
    <w:p w14:paraId="281C0137" w14:textId="77777777" w:rsidR="00C52964" w:rsidRPr="003054D0" w:rsidRDefault="00C52964" w:rsidP="00C52964">
      <w:pPr>
        <w:widowControl w:val="0"/>
        <w:autoSpaceDE w:val="0"/>
        <w:autoSpaceDN w:val="0"/>
        <w:adjustRightInd w:val="0"/>
        <w:rPr>
          <w:rFonts w:asciiTheme="majorHAnsi" w:eastAsiaTheme="minorEastAsia" w:hAnsiTheme="majorHAnsi" w:cstheme="majorHAnsi"/>
          <w:sz w:val="22"/>
          <w:szCs w:val="22"/>
          <w:lang w:val="fr-CH"/>
        </w:rPr>
      </w:pPr>
    </w:p>
    <w:p w14:paraId="3E521351"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Terapet SA de Genève (GE) – Meilleur réglage des doses en protonthérapie pour le traitement du cancer</w:t>
      </w:r>
    </w:p>
    <w:p w14:paraId="556772CC" w14:textId="6DBBEE3A"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La protonthérapie est la forme de radiothérapie la plus précise dans le traitement du cancer. La surveillance des doses pendant les traitements reste cependant basée sur des simulations. Terapet SA, une start-up du CERN, développe un appareil médical d’un nouveau genre qui permet pour la première fois aux médecins de surveiller la dose de protons libérée dans l’organisme pendant le traitement: in vivo, de manière non invasive, en 3D et en temps réel. Cette solution permet à chaque patient de toujours recevoir la dose correcte.</w:t>
      </w:r>
    </w:p>
    <w:p w14:paraId="2C65CE25"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114B0980" w14:textId="3445DA18"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 xml:space="preserve">Volumina Medical SA d’Épalinges (VD) – </w:t>
      </w:r>
      <w:r w:rsidR="00D129F3">
        <w:rPr>
          <w:rFonts w:asciiTheme="majorHAnsi" w:hAnsiTheme="majorHAnsi" w:cstheme="majorHAnsi"/>
          <w:b/>
          <w:i/>
          <w:sz w:val="22"/>
          <w:szCs w:val="22"/>
          <w:lang w:val="fr-CH"/>
        </w:rPr>
        <w:t>R</w:t>
      </w:r>
      <w:r w:rsidRPr="003054D0">
        <w:rPr>
          <w:rFonts w:asciiTheme="majorHAnsi" w:hAnsiTheme="majorHAnsi" w:cstheme="majorHAnsi"/>
          <w:b/>
          <w:i/>
          <w:sz w:val="22"/>
          <w:szCs w:val="22"/>
          <w:lang w:val="fr-CH"/>
        </w:rPr>
        <w:t>econstruction mammaire mini-invasive après affection cancéreuse</w:t>
      </w:r>
    </w:p>
    <w:p w14:paraId="367C269E" w14:textId="06B82F39" w:rsidR="00C52964" w:rsidRPr="003054D0" w:rsidRDefault="00AF3930" w:rsidP="00AF3930">
      <w:pPr>
        <w:widowControl w:val="0"/>
        <w:autoSpaceDE w:val="0"/>
        <w:autoSpaceDN w:val="0"/>
        <w:adjustRightInd w:val="0"/>
        <w:rPr>
          <w:rFonts w:asciiTheme="majorHAnsi" w:eastAsiaTheme="minorEastAsia" w:hAnsiTheme="majorHAnsi" w:cstheme="majorHAnsi"/>
          <w:sz w:val="22"/>
          <w:szCs w:val="22"/>
          <w:lang w:val="fr-CH"/>
        </w:rPr>
      </w:pPr>
      <w:r w:rsidRPr="003054D0">
        <w:rPr>
          <w:rFonts w:asciiTheme="majorHAnsi" w:hAnsiTheme="majorHAnsi" w:cstheme="majorHAnsi"/>
          <w:sz w:val="22"/>
          <w:szCs w:val="22"/>
          <w:lang w:val="fr-CH"/>
        </w:rPr>
        <w:t>À l’heure actuelle, les interventions de reconstruction après un cancer du sein sont chères, risquées, très invasives et les résultats sont temporaires ou d’aspect peu naturel. La spin-off de l’EPFL Volumina Medical a développé AdiPearl, un implant injectable ayant la capacité de régénérer les tissus endommagés pour la reconstruction en une seule intervention mini-invasive. AdiPearl offre aux femmes concernées une solution de reconstruction mammaire sûre, efficace, d’excellente qualité et rentable.</w:t>
      </w:r>
    </w:p>
    <w:p w14:paraId="491445CB" w14:textId="77777777" w:rsidR="00C52964" w:rsidRPr="003054D0" w:rsidRDefault="00C52964" w:rsidP="00162A17">
      <w:pPr>
        <w:widowControl w:val="0"/>
        <w:autoSpaceDE w:val="0"/>
        <w:autoSpaceDN w:val="0"/>
        <w:adjustRightInd w:val="0"/>
        <w:rPr>
          <w:rFonts w:asciiTheme="majorHAnsi" w:hAnsiTheme="majorHAnsi" w:cstheme="majorHAnsi"/>
          <w:sz w:val="22"/>
          <w:szCs w:val="22"/>
          <w:lang w:val="fr-CH"/>
        </w:rPr>
      </w:pPr>
    </w:p>
    <w:p w14:paraId="76728BD2" w14:textId="77777777" w:rsidR="00AF3930" w:rsidRPr="003054D0" w:rsidRDefault="00AF3930" w:rsidP="00AF3930">
      <w:pPr>
        <w:widowControl w:val="0"/>
        <w:autoSpaceDE w:val="0"/>
        <w:autoSpaceDN w:val="0"/>
        <w:adjustRightInd w:val="0"/>
        <w:rPr>
          <w:rFonts w:asciiTheme="majorHAnsi" w:eastAsiaTheme="minorEastAsia" w:hAnsiTheme="majorHAnsi" w:cstheme="majorHAnsi"/>
          <w:b/>
          <w:i/>
          <w:sz w:val="22"/>
          <w:szCs w:val="22"/>
          <w:lang w:val="fr-CH"/>
        </w:rPr>
      </w:pPr>
      <w:r w:rsidRPr="003054D0">
        <w:rPr>
          <w:rFonts w:asciiTheme="majorHAnsi" w:hAnsiTheme="majorHAnsi" w:cstheme="majorHAnsi"/>
          <w:b/>
          <w:i/>
          <w:sz w:val="22"/>
          <w:szCs w:val="22"/>
          <w:lang w:val="fr-CH"/>
        </w:rPr>
        <w:t>XRnanotech GmbH de Untersiggenthal (AG) – Nano-optique à rayons X</w:t>
      </w:r>
    </w:p>
    <w:p w14:paraId="24A43AEA" w14:textId="236AE49D" w:rsidR="00C52964" w:rsidRPr="003054D0" w:rsidRDefault="00AF3930" w:rsidP="00AF3930">
      <w:pPr>
        <w:rPr>
          <w:rFonts w:asciiTheme="majorHAnsi" w:hAnsiTheme="majorHAnsi" w:cstheme="majorHAnsi"/>
          <w:sz w:val="22"/>
          <w:szCs w:val="22"/>
          <w:lang w:val="fr-CH"/>
        </w:rPr>
      </w:pPr>
      <w:r w:rsidRPr="003054D0">
        <w:rPr>
          <w:rFonts w:asciiTheme="majorHAnsi" w:hAnsiTheme="majorHAnsi" w:cstheme="majorHAnsi"/>
          <w:sz w:val="22"/>
          <w:szCs w:val="22"/>
          <w:lang w:val="fr-CH"/>
        </w:rPr>
        <w:t>L’accès à l’optique à rayons X ultramoderne est un véritable goulet d’étranglement dans de nombreux domaines de recherche importants comme l’imagerie médicale, la recherche pharmaceutique, l’inspection à micropuce et la microscopie. En faisant appel à des innovations révolutionnaires du domaine des nanotechnologies, XRnanotech offre une résolution dix fois supérieure, deux fois plus d’efficacité des photons et la meilleure stabilité en termes d’optique moderne à rayons X. Les produits de la start-up permettent l’exploration des structures les plus petites avec une qualité d’image inégalée jusqu’ici.</w:t>
      </w:r>
    </w:p>
    <w:p w14:paraId="087CEEC2" w14:textId="77777777" w:rsidR="005C0C1D" w:rsidRPr="003054D0" w:rsidRDefault="005C0C1D" w:rsidP="00B0506F">
      <w:pPr>
        <w:widowControl w:val="0"/>
        <w:autoSpaceDE w:val="0"/>
        <w:autoSpaceDN w:val="0"/>
        <w:adjustRightInd w:val="0"/>
        <w:rPr>
          <w:rFonts w:asciiTheme="majorHAnsi" w:eastAsiaTheme="minorEastAsia" w:hAnsiTheme="majorHAnsi" w:cstheme="majorHAnsi"/>
          <w:sz w:val="22"/>
          <w:szCs w:val="22"/>
          <w:lang w:val="fr-CH"/>
        </w:rPr>
      </w:pPr>
    </w:p>
    <w:p w14:paraId="6E0FE3CA" w14:textId="77777777" w:rsidR="008D5D65" w:rsidRPr="003054D0" w:rsidRDefault="008D5D65" w:rsidP="008D5D65">
      <w:pPr>
        <w:widowControl w:val="0"/>
        <w:autoSpaceDE w:val="0"/>
        <w:autoSpaceDN w:val="0"/>
        <w:adjustRightInd w:val="0"/>
        <w:rPr>
          <w:rFonts w:asciiTheme="majorHAnsi" w:eastAsia="MS Mincho" w:hAnsiTheme="majorHAnsi" w:cstheme="majorHAnsi"/>
          <w:b/>
          <w:bCs/>
          <w:sz w:val="22"/>
          <w:szCs w:val="22"/>
          <w:lang w:val="fr-CH"/>
        </w:rPr>
      </w:pPr>
      <w:r w:rsidRPr="003054D0">
        <w:rPr>
          <w:rFonts w:asciiTheme="majorHAnsi" w:eastAsia="MS Mincho" w:hAnsiTheme="majorHAnsi" w:cstheme="majorHAnsi"/>
          <w:b/>
          <w:bCs/>
          <w:sz w:val="22"/>
          <w:szCs w:val="22"/>
          <w:lang w:val="fr-CH"/>
        </w:rPr>
        <w:t>A propos des bourses de soutien W.A. De Vigier</w:t>
      </w:r>
    </w:p>
    <w:p w14:paraId="12232B2D" w14:textId="3E9DB431" w:rsidR="00890686" w:rsidRPr="003054D0" w:rsidRDefault="00890686" w:rsidP="00890686">
      <w:pPr>
        <w:widowControl w:val="0"/>
        <w:autoSpaceDE w:val="0"/>
        <w:autoSpaceDN w:val="0"/>
        <w:adjustRightInd w:val="0"/>
        <w:rPr>
          <w:rFonts w:asciiTheme="majorHAnsi" w:eastAsiaTheme="minorEastAsia" w:hAnsiTheme="majorHAnsi" w:cstheme="majorHAnsi"/>
          <w:sz w:val="22"/>
          <w:szCs w:val="22"/>
          <w:lang w:val="fr-CH"/>
        </w:rPr>
      </w:pPr>
    </w:p>
    <w:p w14:paraId="207A0494" w14:textId="50632A29" w:rsidR="00C64B48" w:rsidRPr="003054D0" w:rsidRDefault="00C64B48" w:rsidP="00C64B48">
      <w:pPr>
        <w:widowControl w:val="0"/>
        <w:autoSpaceDE w:val="0"/>
        <w:autoSpaceDN w:val="0"/>
        <w:adjustRightInd w:val="0"/>
        <w:rPr>
          <w:rFonts w:asciiTheme="majorHAnsi" w:eastAsia="MS Mincho" w:hAnsiTheme="majorHAnsi" w:cstheme="majorHAnsi"/>
          <w:sz w:val="22"/>
          <w:szCs w:val="22"/>
          <w:lang w:val="fr-CH"/>
        </w:rPr>
      </w:pPr>
      <w:bookmarkStart w:id="1" w:name="_Hlk34409035"/>
      <w:r w:rsidRPr="003054D0">
        <w:rPr>
          <w:rFonts w:asciiTheme="majorHAnsi" w:hAnsiTheme="majorHAnsi" w:cstheme="majorHAnsi"/>
          <w:sz w:val="22"/>
          <w:szCs w:val="22"/>
          <w:lang w:val="fr-CH"/>
        </w:rPr>
        <w:t xml:space="preserve">Les bourses de soutien W.A. de Vigier sont la plus ancienne distinction destinée à de jeunes entrepreneurs et entrepreneuses en Suisse et, avec CHF 500 000.– francs de dotation distribués chaque année (5 fois CHF 100 000.–), celles dont le montant est le plus élevé en Suisse. Tout au long de ses 32 années d’existence, la Fondation a attribué au total plus de 11 millions de francs en capital de départ. À ce jour, ceci a eu comme résultat plus de 90 start-up performantes, des entrées en bourse menées à bien, plusieurs cessions d’entreprise profitables et surtout de nombreuses créations d’emplois. </w:t>
      </w:r>
    </w:p>
    <w:bookmarkEnd w:id="1"/>
    <w:p w14:paraId="4D688AB2" w14:textId="77777777" w:rsidR="00C64B48" w:rsidRPr="003054D0" w:rsidRDefault="00C64B48" w:rsidP="00890686">
      <w:pPr>
        <w:widowControl w:val="0"/>
        <w:autoSpaceDE w:val="0"/>
        <w:autoSpaceDN w:val="0"/>
        <w:adjustRightInd w:val="0"/>
        <w:rPr>
          <w:rFonts w:asciiTheme="majorHAnsi" w:eastAsiaTheme="minorEastAsia" w:hAnsiTheme="majorHAnsi" w:cstheme="majorHAnsi"/>
          <w:sz w:val="22"/>
          <w:szCs w:val="22"/>
          <w:lang w:val="fr-CH"/>
        </w:rPr>
      </w:pPr>
    </w:p>
    <w:p w14:paraId="622DA8BA" w14:textId="77777777" w:rsidR="00C64B48" w:rsidRPr="003054D0" w:rsidRDefault="00C64B48" w:rsidP="00C64B48">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hAnsiTheme="majorHAnsi" w:cstheme="majorHAnsi"/>
          <w:sz w:val="22"/>
          <w:szCs w:val="22"/>
          <w:lang w:val="fr-CH"/>
        </w:rPr>
        <w:t>Les facteurs suivants sont pris en considération lors de l</w:t>
      </w:r>
      <w:r w:rsidRPr="003054D0">
        <w:rPr>
          <w:rFonts w:asciiTheme="majorHAnsi" w:hAnsiTheme="majorHAnsi" w:cstheme="majorHAnsi"/>
          <w:sz w:val="22"/>
          <w:szCs w:val="22"/>
          <w:cs/>
          <w:lang w:val="fr-CH"/>
        </w:rPr>
        <w:t>’</w:t>
      </w:r>
      <w:r w:rsidRPr="003054D0">
        <w:rPr>
          <w:rFonts w:asciiTheme="majorHAnsi" w:hAnsiTheme="majorHAnsi" w:cstheme="majorHAnsi"/>
          <w:sz w:val="22"/>
          <w:szCs w:val="22"/>
          <w:lang w:val="fr-CH"/>
        </w:rPr>
        <w:t>évaluation des projets: La personnalité des entrepreneurs, le caractère innovant du projet, la pertinence pour la société dans son ensemble, la faisabilité sur les plans technique et financier, ainsi que le potentiel commercial et l</w:t>
      </w:r>
      <w:r w:rsidRPr="003054D0">
        <w:rPr>
          <w:rFonts w:asciiTheme="majorHAnsi" w:hAnsiTheme="majorHAnsi" w:cstheme="majorHAnsi"/>
          <w:sz w:val="22"/>
          <w:szCs w:val="22"/>
          <w:cs/>
          <w:lang w:val="fr-CH"/>
        </w:rPr>
        <w:t>’</w:t>
      </w:r>
      <w:r w:rsidRPr="003054D0">
        <w:rPr>
          <w:rFonts w:asciiTheme="majorHAnsi" w:hAnsiTheme="majorHAnsi" w:cstheme="majorHAnsi"/>
          <w:sz w:val="22"/>
          <w:szCs w:val="22"/>
          <w:lang w:val="fr-CH"/>
        </w:rPr>
        <w:t>effet sur la création d</w:t>
      </w:r>
      <w:r w:rsidRPr="003054D0">
        <w:rPr>
          <w:rFonts w:asciiTheme="majorHAnsi" w:hAnsiTheme="majorHAnsi" w:cstheme="majorHAnsi"/>
          <w:sz w:val="22"/>
          <w:szCs w:val="22"/>
          <w:cs/>
          <w:lang w:val="fr-CH"/>
        </w:rPr>
        <w:t>’</w:t>
      </w:r>
      <w:r w:rsidRPr="003054D0">
        <w:rPr>
          <w:rFonts w:asciiTheme="majorHAnsi" w:hAnsiTheme="majorHAnsi" w:cstheme="majorHAnsi"/>
          <w:sz w:val="22"/>
          <w:szCs w:val="22"/>
          <w:lang w:val="fr-CH"/>
        </w:rPr>
        <w:t>emplois.</w:t>
      </w:r>
    </w:p>
    <w:p w14:paraId="19796BEA" w14:textId="77777777" w:rsidR="00C64B48" w:rsidRPr="003054D0" w:rsidRDefault="00C64B48" w:rsidP="00890686">
      <w:pPr>
        <w:widowControl w:val="0"/>
        <w:autoSpaceDE w:val="0"/>
        <w:autoSpaceDN w:val="0"/>
        <w:adjustRightInd w:val="0"/>
        <w:rPr>
          <w:rFonts w:asciiTheme="majorHAnsi" w:eastAsiaTheme="minorEastAsia" w:hAnsiTheme="majorHAnsi" w:cstheme="majorHAnsi"/>
          <w:sz w:val="22"/>
          <w:szCs w:val="22"/>
          <w:lang w:val="fr-CH"/>
        </w:rPr>
      </w:pPr>
    </w:p>
    <w:p w14:paraId="06E1B8C3" w14:textId="77777777"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eastAsia="MS Mincho" w:hAnsiTheme="majorHAnsi" w:cstheme="majorHAnsi"/>
          <w:b/>
          <w:bCs/>
          <w:sz w:val="22"/>
          <w:szCs w:val="22"/>
          <w:lang w:val="fr-CH"/>
        </w:rPr>
        <w:t>Contact pour de plus amples informations</w:t>
      </w:r>
    </w:p>
    <w:p w14:paraId="1C79C42B" w14:textId="77777777"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eastAsia="MS Mincho" w:hAnsiTheme="majorHAnsi" w:cstheme="majorHAnsi"/>
          <w:sz w:val="22"/>
          <w:szCs w:val="22"/>
          <w:lang w:val="fr-CH"/>
        </w:rPr>
        <w:t>Fondation W.A. de Vigier</w:t>
      </w:r>
    </w:p>
    <w:p w14:paraId="0667695C" w14:textId="77777777"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eastAsia="MS Mincho" w:hAnsiTheme="majorHAnsi" w:cstheme="majorHAnsi"/>
          <w:sz w:val="22"/>
          <w:szCs w:val="22"/>
          <w:lang w:val="fr-CH"/>
        </w:rPr>
        <w:t>Regula Buob, Directrice</w:t>
      </w:r>
    </w:p>
    <w:p w14:paraId="4841A9B1" w14:textId="77777777"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eastAsia="MS Mincho" w:hAnsiTheme="majorHAnsi" w:cstheme="majorHAnsi"/>
          <w:sz w:val="22"/>
          <w:szCs w:val="22"/>
          <w:lang w:val="fr-CH"/>
        </w:rPr>
        <w:t xml:space="preserve">Untere Steingrubenstrasse 25 </w:t>
      </w:r>
      <w:r w:rsidRPr="003054D0">
        <w:rPr>
          <w:rFonts w:asciiTheme="majorHAnsi" w:hAnsiTheme="majorHAnsi" w:cstheme="majorHAnsi"/>
          <w:sz w:val="22"/>
          <w:lang w:val="fr-CH"/>
        </w:rPr>
        <w:t xml:space="preserve">| </w:t>
      </w:r>
      <w:r w:rsidRPr="003054D0">
        <w:rPr>
          <w:rFonts w:asciiTheme="majorHAnsi" w:eastAsia="MS Mincho" w:hAnsiTheme="majorHAnsi" w:cstheme="majorHAnsi"/>
          <w:sz w:val="22"/>
          <w:szCs w:val="22"/>
          <w:lang w:val="fr-CH"/>
        </w:rPr>
        <w:t>4500 Soleure</w:t>
      </w:r>
    </w:p>
    <w:p w14:paraId="1A17B8C7" w14:textId="77777777"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eastAsia="MS Mincho" w:hAnsiTheme="majorHAnsi" w:cstheme="majorHAnsi"/>
          <w:sz w:val="22"/>
          <w:szCs w:val="22"/>
          <w:lang w:val="fr-CH"/>
        </w:rPr>
        <w:t>076 390 31 15</w:t>
      </w:r>
      <w:r w:rsidRPr="003054D0">
        <w:rPr>
          <w:rFonts w:ascii="Tahoma" w:eastAsia="MS Mincho" w:hAnsi="Tahoma" w:cs="Tahoma"/>
          <w:sz w:val="22"/>
          <w:szCs w:val="22"/>
          <w:lang w:val="fr-CH"/>
        </w:rPr>
        <w:t> </w:t>
      </w:r>
    </w:p>
    <w:p w14:paraId="1B187D17" w14:textId="77777777" w:rsidR="008D5D65" w:rsidRPr="003054D0" w:rsidRDefault="008D5D65" w:rsidP="008D5D65">
      <w:pPr>
        <w:widowControl w:val="0"/>
        <w:autoSpaceDE w:val="0"/>
        <w:autoSpaceDN w:val="0"/>
        <w:adjustRightInd w:val="0"/>
        <w:rPr>
          <w:rFonts w:asciiTheme="majorHAnsi" w:eastAsia="MS Mincho" w:hAnsiTheme="majorHAnsi" w:cstheme="majorHAnsi"/>
          <w:sz w:val="22"/>
          <w:szCs w:val="22"/>
          <w:lang w:val="fr-CH"/>
        </w:rPr>
      </w:pPr>
      <w:r w:rsidRPr="003054D0">
        <w:rPr>
          <w:rFonts w:asciiTheme="majorHAnsi" w:eastAsia="MS Mincho" w:hAnsiTheme="majorHAnsi" w:cstheme="majorHAnsi"/>
          <w:sz w:val="22"/>
          <w:szCs w:val="22"/>
          <w:lang w:val="fr-CH"/>
        </w:rPr>
        <w:t xml:space="preserve">regula.buob@devigier.ch </w:t>
      </w:r>
      <w:r w:rsidRPr="003054D0">
        <w:rPr>
          <w:rFonts w:asciiTheme="majorHAnsi" w:hAnsiTheme="majorHAnsi" w:cstheme="majorHAnsi"/>
          <w:sz w:val="22"/>
          <w:lang w:val="fr-CH"/>
        </w:rPr>
        <w:t xml:space="preserve">| </w:t>
      </w:r>
      <w:r w:rsidRPr="003054D0">
        <w:rPr>
          <w:rFonts w:asciiTheme="majorHAnsi" w:eastAsia="MS Mincho" w:hAnsiTheme="majorHAnsi" w:cstheme="majorHAnsi"/>
          <w:sz w:val="22"/>
          <w:szCs w:val="22"/>
          <w:lang w:val="fr-CH"/>
        </w:rPr>
        <w:t xml:space="preserve">www.devigier.ch </w:t>
      </w:r>
    </w:p>
    <w:p w14:paraId="611AE35A" w14:textId="13F90365" w:rsidR="005C0C1D" w:rsidRPr="003054D0" w:rsidRDefault="005C0C1D" w:rsidP="00451CB4">
      <w:pPr>
        <w:widowControl w:val="0"/>
        <w:autoSpaceDE w:val="0"/>
        <w:autoSpaceDN w:val="0"/>
        <w:adjustRightInd w:val="0"/>
        <w:rPr>
          <w:rFonts w:asciiTheme="majorHAnsi" w:eastAsiaTheme="minorEastAsia" w:hAnsiTheme="majorHAnsi" w:cstheme="majorHAnsi"/>
          <w:sz w:val="22"/>
          <w:szCs w:val="22"/>
          <w:lang w:val="fr-CH"/>
        </w:rPr>
      </w:pPr>
    </w:p>
    <w:sectPr w:rsidR="005C0C1D" w:rsidRPr="003054D0" w:rsidSect="00E01346">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CA723" w14:textId="77777777" w:rsidR="00E35FB9" w:rsidRDefault="00E35FB9" w:rsidP="00A86651">
      <w:r>
        <w:separator/>
      </w:r>
    </w:p>
  </w:endnote>
  <w:endnote w:type="continuationSeparator" w:id="0">
    <w:p w14:paraId="221A54C9" w14:textId="77777777" w:rsidR="00E35FB9" w:rsidRDefault="00E35FB9"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05638" w14:textId="77777777" w:rsidR="00E35FB9" w:rsidRDefault="00E35FB9" w:rsidP="00A86651">
      <w:r>
        <w:separator/>
      </w:r>
    </w:p>
  </w:footnote>
  <w:footnote w:type="continuationSeparator" w:id="0">
    <w:p w14:paraId="63327D17" w14:textId="77777777" w:rsidR="00E35FB9" w:rsidRDefault="00E35FB9"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C52964" w:rsidRDefault="00C52964">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402DBC36" w14:textId="77777777" w:rsidR="00C52964" w:rsidRDefault="00C529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261D8"/>
    <w:rsid w:val="00033D67"/>
    <w:rsid w:val="00130CD0"/>
    <w:rsid w:val="00154F27"/>
    <w:rsid w:val="00162A17"/>
    <w:rsid w:val="00162E75"/>
    <w:rsid w:val="0017413F"/>
    <w:rsid w:val="001A06C7"/>
    <w:rsid w:val="001F4D99"/>
    <w:rsid w:val="00284C79"/>
    <w:rsid w:val="002A4556"/>
    <w:rsid w:val="003054D0"/>
    <w:rsid w:val="003352FD"/>
    <w:rsid w:val="003C15CE"/>
    <w:rsid w:val="0041530F"/>
    <w:rsid w:val="004240BB"/>
    <w:rsid w:val="00451CB4"/>
    <w:rsid w:val="005313FE"/>
    <w:rsid w:val="00534D6C"/>
    <w:rsid w:val="005C0C1D"/>
    <w:rsid w:val="006207DB"/>
    <w:rsid w:val="0067399A"/>
    <w:rsid w:val="007010B6"/>
    <w:rsid w:val="0074236F"/>
    <w:rsid w:val="0079124D"/>
    <w:rsid w:val="008039EA"/>
    <w:rsid w:val="00890686"/>
    <w:rsid w:val="008D5D65"/>
    <w:rsid w:val="008E36FE"/>
    <w:rsid w:val="009800DF"/>
    <w:rsid w:val="00A054FF"/>
    <w:rsid w:val="00A0737C"/>
    <w:rsid w:val="00A86651"/>
    <w:rsid w:val="00A945FA"/>
    <w:rsid w:val="00AA56D6"/>
    <w:rsid w:val="00AF3930"/>
    <w:rsid w:val="00B0506F"/>
    <w:rsid w:val="00B525A4"/>
    <w:rsid w:val="00B77819"/>
    <w:rsid w:val="00BA0D25"/>
    <w:rsid w:val="00BB2CC3"/>
    <w:rsid w:val="00BE0E4F"/>
    <w:rsid w:val="00C102A9"/>
    <w:rsid w:val="00C52964"/>
    <w:rsid w:val="00C64B48"/>
    <w:rsid w:val="00C8612E"/>
    <w:rsid w:val="00D129F3"/>
    <w:rsid w:val="00DB2EB4"/>
    <w:rsid w:val="00E01346"/>
    <w:rsid w:val="00E25ED5"/>
    <w:rsid w:val="00E2715E"/>
    <w:rsid w:val="00E35FB9"/>
    <w:rsid w:val="00E710DE"/>
    <w:rsid w:val="00EB2710"/>
    <w:rsid w:val="00ED63A0"/>
    <w:rsid w:val="00FC1DE6"/>
    <w:rsid w:val="00F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Kommentarzeichen">
    <w:name w:val="annotation reference"/>
    <w:basedOn w:val="Absatzstandardschriftart"/>
    <w:uiPriority w:val="99"/>
    <w:semiHidden/>
    <w:unhideWhenUsed/>
    <w:rsid w:val="0079124D"/>
    <w:rPr>
      <w:sz w:val="16"/>
      <w:szCs w:val="16"/>
    </w:rPr>
  </w:style>
  <w:style w:type="paragraph" w:styleId="Kommentartext">
    <w:name w:val="annotation text"/>
    <w:basedOn w:val="Standard"/>
    <w:link w:val="KommentartextZeichen"/>
    <w:uiPriority w:val="99"/>
    <w:semiHidden/>
    <w:unhideWhenUsed/>
    <w:rsid w:val="0079124D"/>
    <w:rPr>
      <w:sz w:val="20"/>
      <w:szCs w:val="20"/>
    </w:rPr>
  </w:style>
  <w:style w:type="character" w:customStyle="1" w:styleId="KommentartextZeichen">
    <w:name w:val="Kommentartext Zeichen"/>
    <w:basedOn w:val="Absatzstandardschriftart"/>
    <w:link w:val="Kommentartext"/>
    <w:uiPriority w:val="99"/>
    <w:semiHidden/>
    <w:rsid w:val="0079124D"/>
    <w:rPr>
      <w:rFonts w:eastAsia="Times New Roman"/>
      <w:sz w:val="20"/>
      <w:szCs w:val="20"/>
      <w:lang w:val="de-CH"/>
    </w:rPr>
  </w:style>
  <w:style w:type="paragraph" w:styleId="Kommentarthema">
    <w:name w:val="annotation subject"/>
    <w:basedOn w:val="Kommentartext"/>
    <w:next w:val="Kommentartext"/>
    <w:link w:val="KommentarthemaZeichen"/>
    <w:uiPriority w:val="99"/>
    <w:semiHidden/>
    <w:unhideWhenUsed/>
    <w:rsid w:val="0079124D"/>
    <w:rPr>
      <w:b/>
      <w:bCs/>
    </w:rPr>
  </w:style>
  <w:style w:type="character" w:customStyle="1" w:styleId="KommentarthemaZeichen">
    <w:name w:val="Kommentarthema Zeichen"/>
    <w:basedOn w:val="KommentartextZeichen"/>
    <w:link w:val="Kommentarthema"/>
    <w:uiPriority w:val="99"/>
    <w:semiHidden/>
    <w:rsid w:val="0079124D"/>
    <w:rPr>
      <w:rFonts w:eastAsia="Times New Roman"/>
      <w:b/>
      <w:bCs/>
      <w:sz w:val="20"/>
      <w:szCs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Kommentarzeichen">
    <w:name w:val="annotation reference"/>
    <w:basedOn w:val="Absatzstandardschriftart"/>
    <w:uiPriority w:val="99"/>
    <w:semiHidden/>
    <w:unhideWhenUsed/>
    <w:rsid w:val="0079124D"/>
    <w:rPr>
      <w:sz w:val="16"/>
      <w:szCs w:val="16"/>
    </w:rPr>
  </w:style>
  <w:style w:type="paragraph" w:styleId="Kommentartext">
    <w:name w:val="annotation text"/>
    <w:basedOn w:val="Standard"/>
    <w:link w:val="KommentartextZeichen"/>
    <w:uiPriority w:val="99"/>
    <w:semiHidden/>
    <w:unhideWhenUsed/>
    <w:rsid w:val="0079124D"/>
    <w:rPr>
      <w:sz w:val="20"/>
      <w:szCs w:val="20"/>
    </w:rPr>
  </w:style>
  <w:style w:type="character" w:customStyle="1" w:styleId="KommentartextZeichen">
    <w:name w:val="Kommentartext Zeichen"/>
    <w:basedOn w:val="Absatzstandardschriftart"/>
    <w:link w:val="Kommentartext"/>
    <w:uiPriority w:val="99"/>
    <w:semiHidden/>
    <w:rsid w:val="0079124D"/>
    <w:rPr>
      <w:rFonts w:eastAsia="Times New Roman"/>
      <w:sz w:val="20"/>
      <w:szCs w:val="20"/>
      <w:lang w:val="de-CH"/>
    </w:rPr>
  </w:style>
  <w:style w:type="paragraph" w:styleId="Kommentarthema">
    <w:name w:val="annotation subject"/>
    <w:basedOn w:val="Kommentartext"/>
    <w:next w:val="Kommentartext"/>
    <w:link w:val="KommentarthemaZeichen"/>
    <w:uiPriority w:val="99"/>
    <w:semiHidden/>
    <w:unhideWhenUsed/>
    <w:rsid w:val="0079124D"/>
    <w:rPr>
      <w:b/>
      <w:bCs/>
    </w:rPr>
  </w:style>
  <w:style w:type="character" w:customStyle="1" w:styleId="KommentarthemaZeichen">
    <w:name w:val="Kommentarthema Zeichen"/>
    <w:basedOn w:val="KommentartextZeichen"/>
    <w:link w:val="Kommentarthema"/>
    <w:uiPriority w:val="99"/>
    <w:semiHidden/>
    <w:rsid w:val="0079124D"/>
    <w:rPr>
      <w:rFonts w:eastAsia="Times New Roman"/>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12734</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8</cp:revision>
  <dcterms:created xsi:type="dcterms:W3CDTF">2021-03-02T06:40:00Z</dcterms:created>
  <dcterms:modified xsi:type="dcterms:W3CDTF">2021-03-08T07:07:00Z</dcterms:modified>
</cp:coreProperties>
</file>