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6B17A6" w14:textId="54D831CF" w:rsidR="002F7FA3" w:rsidRPr="00D10C89" w:rsidRDefault="00CC2911" w:rsidP="002F7FA3">
      <w:pPr>
        <w:widowControl w:val="0"/>
        <w:autoSpaceDE w:val="0"/>
        <w:autoSpaceDN w:val="0"/>
        <w:adjustRightInd w:val="0"/>
        <w:rPr>
          <w:rFonts w:asciiTheme="majorHAnsi" w:hAnsiTheme="majorHAnsi"/>
          <w:b/>
          <w:sz w:val="22"/>
          <w:szCs w:val="22"/>
          <w:lang w:val="fr-CH"/>
        </w:rPr>
      </w:pPr>
      <w:r w:rsidRPr="00D10C89">
        <w:rPr>
          <w:b/>
          <w:sz w:val="22"/>
          <w:szCs w:val="22"/>
          <w:lang w:val="fr-CH"/>
        </w:rPr>
        <w:t>Communiqué de presse</w:t>
      </w:r>
    </w:p>
    <w:p w14:paraId="112D7ED7" w14:textId="77777777" w:rsidR="002F7FA3" w:rsidRPr="00D10C89" w:rsidRDefault="002F7FA3" w:rsidP="002F7FA3">
      <w:pPr>
        <w:widowControl w:val="0"/>
        <w:autoSpaceDE w:val="0"/>
        <w:autoSpaceDN w:val="0"/>
        <w:adjustRightInd w:val="0"/>
        <w:rPr>
          <w:rFonts w:asciiTheme="majorHAnsi" w:hAnsiTheme="majorHAnsi"/>
          <w:sz w:val="22"/>
          <w:szCs w:val="22"/>
          <w:lang w:val="fr-CH"/>
        </w:rPr>
      </w:pPr>
    </w:p>
    <w:p w14:paraId="1967BB1A" w14:textId="2E4CDDF3" w:rsidR="002F7FA3" w:rsidRPr="00D10C89" w:rsidRDefault="00CC2911" w:rsidP="002F7FA3">
      <w:pPr>
        <w:widowControl w:val="0"/>
        <w:autoSpaceDE w:val="0"/>
        <w:autoSpaceDN w:val="0"/>
        <w:adjustRightInd w:val="0"/>
        <w:rPr>
          <w:rFonts w:asciiTheme="majorHAnsi" w:hAnsiTheme="majorHAnsi"/>
          <w:sz w:val="22"/>
          <w:szCs w:val="22"/>
          <w:lang w:val="fr-CH"/>
        </w:rPr>
      </w:pPr>
      <w:r w:rsidRPr="00D10C89">
        <w:rPr>
          <w:sz w:val="22"/>
          <w:szCs w:val="22"/>
          <w:lang w:val="fr-CH"/>
        </w:rPr>
        <w:t>Prix W.A. de Vigier</w:t>
      </w:r>
      <w:r w:rsidR="00A04E38" w:rsidRPr="00D10C89">
        <w:rPr>
          <w:rFonts w:asciiTheme="majorHAnsi" w:hAnsiTheme="majorHAnsi"/>
          <w:sz w:val="22"/>
          <w:szCs w:val="22"/>
          <w:lang w:val="fr-CH"/>
        </w:rPr>
        <w:t xml:space="preserve"> 2021</w:t>
      </w:r>
    </w:p>
    <w:p w14:paraId="2BAB7CF9" w14:textId="77777777" w:rsidR="00D10C89" w:rsidRPr="00D10C89" w:rsidRDefault="00D10C89" w:rsidP="00D10C89">
      <w:pPr>
        <w:widowControl w:val="0"/>
        <w:autoSpaceDE w:val="0"/>
        <w:autoSpaceDN w:val="0"/>
        <w:adjustRightInd w:val="0"/>
        <w:rPr>
          <w:rFonts w:asciiTheme="majorHAnsi" w:hAnsiTheme="majorHAnsi"/>
          <w:b/>
          <w:sz w:val="28"/>
          <w:szCs w:val="22"/>
          <w:lang w:val="fr-CH"/>
        </w:rPr>
      </w:pPr>
      <w:r w:rsidRPr="00D10C89">
        <w:rPr>
          <w:rFonts w:asciiTheme="majorHAnsi" w:hAnsiTheme="majorHAnsi"/>
          <w:b/>
          <w:sz w:val="28"/>
          <w:szCs w:val="22"/>
          <w:lang w:val="fr-CH"/>
        </w:rPr>
        <w:t>6 start-up reçoivent CHF 100 000.– chacune</w:t>
      </w:r>
    </w:p>
    <w:p w14:paraId="6CE62A4E" w14:textId="77777777" w:rsidR="00D10C89" w:rsidRPr="00D10C89" w:rsidRDefault="00D10C89" w:rsidP="00D10C89">
      <w:pPr>
        <w:widowControl w:val="0"/>
        <w:autoSpaceDE w:val="0"/>
        <w:autoSpaceDN w:val="0"/>
        <w:adjustRightInd w:val="0"/>
        <w:rPr>
          <w:rFonts w:asciiTheme="majorHAnsi" w:hAnsiTheme="majorHAnsi"/>
          <w:sz w:val="22"/>
          <w:szCs w:val="22"/>
          <w:lang w:val="fr-CH"/>
        </w:rPr>
      </w:pPr>
    </w:p>
    <w:p w14:paraId="54F1E7F9" w14:textId="77777777" w:rsidR="00D10C89" w:rsidRPr="00D10C89" w:rsidRDefault="00D10C89" w:rsidP="00D10C89">
      <w:pPr>
        <w:contextualSpacing/>
        <w:rPr>
          <w:rFonts w:asciiTheme="majorHAnsi" w:hAnsiTheme="majorHAnsi"/>
          <w:b/>
          <w:sz w:val="22"/>
          <w:szCs w:val="22"/>
          <w:lang w:val="fr-CH"/>
        </w:rPr>
      </w:pPr>
      <w:r w:rsidRPr="00D10C89">
        <w:rPr>
          <w:rFonts w:asciiTheme="majorHAnsi" w:hAnsiTheme="majorHAnsi"/>
          <w:sz w:val="22"/>
          <w:szCs w:val="22"/>
          <w:lang w:val="fr-CH"/>
        </w:rPr>
        <w:t xml:space="preserve">Soleure, le 16 juin 2021 </w:t>
      </w:r>
      <w:r w:rsidRPr="00D10C89">
        <w:rPr>
          <w:rStyle w:val="Betont"/>
          <w:lang w:val="fr-CH"/>
        </w:rPr>
        <w:t>Parmi les 217 projets soumis, le jury a sélectionné aujourd’hui non pas cinq, comme c’est habituellement le cas, mais six lauréats et leur a attribué à chacun une bourse de CHF 100 000.–. Les projets récompensés vont des tests à domicile pour les MST aux matériaux durables destinés aux vêtements d’extérieur en passant par des micro-puces spéciales destinées à gérer l’explosion du trafic de données.</w:t>
      </w:r>
    </w:p>
    <w:p w14:paraId="5F5D1C30" w14:textId="77777777" w:rsidR="00D10C89" w:rsidRPr="00D10C89" w:rsidRDefault="00D10C89" w:rsidP="00D10C89">
      <w:pPr>
        <w:tabs>
          <w:tab w:val="left" w:pos="2726"/>
        </w:tabs>
        <w:rPr>
          <w:rFonts w:asciiTheme="majorHAnsi" w:hAnsiTheme="majorHAnsi"/>
          <w:b/>
          <w:sz w:val="22"/>
          <w:szCs w:val="22"/>
          <w:lang w:val="fr-CH"/>
        </w:rPr>
      </w:pPr>
    </w:p>
    <w:p w14:paraId="120F4A63" w14:textId="77777777" w:rsidR="00D10C89" w:rsidRPr="00D10C89" w:rsidRDefault="00D10C89" w:rsidP="00D10C89">
      <w:pPr>
        <w:rPr>
          <w:sz w:val="22"/>
          <w:szCs w:val="22"/>
          <w:lang w:val="fr-CH"/>
        </w:rPr>
      </w:pPr>
      <w:r w:rsidRPr="00D10C89">
        <w:rPr>
          <w:rFonts w:asciiTheme="majorHAnsi" w:hAnsiTheme="majorHAnsi"/>
          <w:sz w:val="22"/>
          <w:szCs w:val="22"/>
          <w:lang w:val="fr-CH"/>
        </w:rPr>
        <w:t xml:space="preserve">«Grâce à une donation de notre ancien président Daniel Borer et de sa famille, la Fondation W.A. de Vigier a pu remettre un prix supplémentaire cette année! C’est un des objectifs de la Fondation: récompenser un plus grand nombre de start-up. </w:t>
      </w:r>
      <w:r w:rsidRPr="00D10C89">
        <w:rPr>
          <w:sz w:val="22"/>
          <w:szCs w:val="22"/>
          <w:lang w:val="fr-CH"/>
        </w:rPr>
        <w:t>La famille Borer offrira une bourse W.A. de Vigier supplémentaire dans les années à venir. Nous leur sommes très reconnaissants pour cette générosité en faveur du soutien aux jeunes entrepreneurs suisses» nous dit Regula Buob, Directrice de la Fondation W.A. de Vigier.</w:t>
      </w:r>
    </w:p>
    <w:p w14:paraId="6FA56F7C" w14:textId="77777777" w:rsidR="00D10C89" w:rsidRPr="00D10C89" w:rsidRDefault="00D10C89" w:rsidP="00D10C89">
      <w:pPr>
        <w:widowControl w:val="0"/>
        <w:autoSpaceDE w:val="0"/>
        <w:autoSpaceDN w:val="0"/>
        <w:adjustRightInd w:val="0"/>
        <w:rPr>
          <w:rFonts w:asciiTheme="majorHAnsi" w:hAnsiTheme="majorHAnsi"/>
          <w:sz w:val="22"/>
          <w:szCs w:val="22"/>
          <w:lang w:val="fr-CH"/>
        </w:rPr>
      </w:pPr>
    </w:p>
    <w:p w14:paraId="38B2D8BD" w14:textId="77777777" w:rsidR="00D10C89" w:rsidRPr="00D10C89" w:rsidRDefault="00D10C89" w:rsidP="00D10C89">
      <w:pPr>
        <w:widowControl w:val="0"/>
        <w:autoSpaceDE w:val="0"/>
        <w:autoSpaceDN w:val="0"/>
        <w:adjustRightInd w:val="0"/>
        <w:rPr>
          <w:rFonts w:asciiTheme="majorHAnsi" w:hAnsiTheme="majorHAnsi"/>
          <w:b/>
          <w:sz w:val="22"/>
          <w:szCs w:val="22"/>
          <w:lang w:val="fr-CH"/>
        </w:rPr>
      </w:pPr>
      <w:r w:rsidRPr="00D10C89">
        <w:rPr>
          <w:b/>
          <w:sz w:val="22"/>
          <w:szCs w:val="22"/>
          <w:lang w:val="fr-CH"/>
        </w:rPr>
        <w:t>Les six lauréats sont (par ordre alphabétique)</w:t>
      </w:r>
    </w:p>
    <w:p w14:paraId="309A63B0" w14:textId="77777777" w:rsidR="002F7FA3" w:rsidRPr="00D10C89" w:rsidRDefault="002F7FA3" w:rsidP="002F7FA3">
      <w:pPr>
        <w:widowControl w:val="0"/>
        <w:autoSpaceDE w:val="0"/>
        <w:autoSpaceDN w:val="0"/>
        <w:adjustRightInd w:val="0"/>
        <w:rPr>
          <w:rFonts w:asciiTheme="majorHAnsi" w:hAnsiTheme="majorHAnsi"/>
          <w:sz w:val="22"/>
          <w:szCs w:val="22"/>
          <w:lang w:val="fr-CH"/>
        </w:rPr>
      </w:pPr>
    </w:p>
    <w:p w14:paraId="6DA35F9F" w14:textId="77777777" w:rsidR="00817F60" w:rsidRPr="00D10C89" w:rsidRDefault="00817F60" w:rsidP="00817F60">
      <w:pPr>
        <w:rPr>
          <w:rFonts w:asciiTheme="majorHAnsi" w:hAnsiTheme="majorHAnsi" w:cstheme="majorHAnsi"/>
          <w:b/>
          <w:bCs/>
          <w:i/>
          <w:iCs/>
          <w:sz w:val="22"/>
          <w:szCs w:val="22"/>
          <w:lang w:val="fr-CH"/>
        </w:rPr>
      </w:pPr>
      <w:r w:rsidRPr="00D10C89">
        <w:rPr>
          <w:rFonts w:asciiTheme="majorHAnsi" w:hAnsiTheme="majorHAnsi" w:cstheme="majorHAnsi"/>
          <w:b/>
          <w:bCs/>
          <w:i/>
          <w:iCs/>
          <w:sz w:val="22"/>
          <w:szCs w:val="22"/>
          <w:lang w:val="fr-CH"/>
        </w:rPr>
        <w:t>cellvie AG de Matzingen (TG)</w:t>
      </w:r>
      <w:r w:rsidRPr="00D10C89">
        <w:rPr>
          <w:rFonts w:asciiTheme="majorHAnsi" w:hAnsiTheme="majorHAnsi" w:cstheme="majorHAnsi"/>
          <w:b/>
          <w:bCs/>
          <w:iCs/>
          <w:sz w:val="22"/>
          <w:szCs w:val="22"/>
          <w:lang w:val="fr-CH"/>
        </w:rPr>
        <w:t xml:space="preserve"> – Utilisation du potentiel thérapeutique des mitochondries</w:t>
      </w:r>
    </w:p>
    <w:p w14:paraId="2F984B34" w14:textId="77777777" w:rsidR="00817F60" w:rsidRPr="00D10C89" w:rsidRDefault="00817F60" w:rsidP="00817F60">
      <w:pPr>
        <w:autoSpaceDE w:val="0"/>
        <w:autoSpaceDN w:val="0"/>
        <w:rPr>
          <w:rFonts w:asciiTheme="majorHAnsi" w:hAnsiTheme="majorHAnsi" w:cstheme="majorHAnsi"/>
          <w:sz w:val="22"/>
          <w:szCs w:val="22"/>
          <w:lang w:val="fr-CH"/>
        </w:rPr>
      </w:pPr>
      <w:r w:rsidRPr="00D10C89">
        <w:rPr>
          <w:rFonts w:asciiTheme="majorHAnsi" w:hAnsiTheme="majorHAnsi" w:cstheme="majorHAnsi"/>
          <w:bCs/>
          <w:iCs/>
          <w:sz w:val="22"/>
          <w:szCs w:val="22"/>
          <w:lang w:val="fr-CH"/>
        </w:rPr>
        <w:t>En cas d’interruption du flux sanguin dans une partie du corps, des cellules sont endommagées ou meurent, même lorsque la circulation est rétablie. C’est le cas par exemple en cas d’infarctus ou d’AVC, qui tuent des millions de personnes chaque année. cellvie transplante des mitochondries viables, la «centrale électrique» des cellules, vers les cellules endommagées, comme le ferait le starter d’une voiture. Les cellules peuvent relancer leur métabolisme énergétique et survivre. La thérapie mitochondriale développée par cette spin-off d’Harvard est d’abord destinée aux receveurs de dons d’organes.</w:t>
      </w:r>
    </w:p>
    <w:p w14:paraId="4A8B6C38" w14:textId="77777777" w:rsidR="00817F60" w:rsidRPr="00D10C89" w:rsidRDefault="00817F60" w:rsidP="00A66D5C">
      <w:pPr>
        <w:widowControl w:val="0"/>
        <w:autoSpaceDE w:val="0"/>
        <w:autoSpaceDN w:val="0"/>
        <w:adjustRightInd w:val="0"/>
        <w:rPr>
          <w:rFonts w:asciiTheme="majorHAnsi" w:hAnsiTheme="majorHAnsi"/>
          <w:sz w:val="22"/>
          <w:szCs w:val="22"/>
          <w:lang w:val="fr-CH"/>
        </w:rPr>
      </w:pPr>
    </w:p>
    <w:p w14:paraId="3C4DB230" w14:textId="77777777" w:rsidR="00817F60" w:rsidRPr="00D10C89" w:rsidRDefault="00817F60" w:rsidP="00817F60">
      <w:pPr>
        <w:widowControl w:val="0"/>
        <w:autoSpaceDE w:val="0"/>
        <w:autoSpaceDN w:val="0"/>
        <w:adjustRightInd w:val="0"/>
        <w:rPr>
          <w:rFonts w:asciiTheme="majorHAnsi" w:eastAsiaTheme="minorEastAsia" w:hAnsiTheme="majorHAnsi" w:cstheme="majorHAnsi"/>
          <w:b/>
          <w:i/>
          <w:sz w:val="22"/>
          <w:szCs w:val="22"/>
          <w:lang w:val="fr-CH"/>
        </w:rPr>
      </w:pPr>
      <w:r w:rsidRPr="00D10C89">
        <w:rPr>
          <w:rFonts w:asciiTheme="majorHAnsi" w:hAnsiTheme="majorHAnsi" w:cstheme="majorHAnsi"/>
          <w:b/>
          <w:i/>
          <w:sz w:val="22"/>
          <w:szCs w:val="22"/>
          <w:lang w:val="fr-CH"/>
        </w:rPr>
        <w:t>dimpora SA de Zurich (ZH) – Des matières naturelles performantes pour les vêtements d’extérieur</w:t>
      </w:r>
    </w:p>
    <w:p w14:paraId="0BB9A459" w14:textId="77777777" w:rsidR="00817F60" w:rsidRPr="00D10C89" w:rsidRDefault="00817F60" w:rsidP="00817F60">
      <w:pPr>
        <w:widowControl w:val="0"/>
        <w:autoSpaceDE w:val="0"/>
        <w:autoSpaceDN w:val="0"/>
        <w:adjustRightInd w:val="0"/>
        <w:rPr>
          <w:rFonts w:asciiTheme="majorHAnsi" w:hAnsiTheme="majorHAnsi" w:cstheme="majorHAnsi"/>
          <w:sz w:val="22"/>
          <w:szCs w:val="22"/>
          <w:lang w:val="fr-CH"/>
        </w:rPr>
      </w:pPr>
      <w:r w:rsidRPr="00D10C89">
        <w:rPr>
          <w:rFonts w:asciiTheme="majorHAnsi" w:hAnsiTheme="majorHAnsi" w:cstheme="majorHAnsi"/>
          <w:sz w:val="22"/>
          <w:szCs w:val="22"/>
          <w:lang w:val="fr-CH"/>
        </w:rPr>
        <w:t>Les vêtements d’extérieur actuels pèsent chimiquement sur l’environnement que les amateurs de plein air aiment tant. En outre, ces matières chimiques nuisent à la santé de ceux qui les portent. La spin-off de l’EPFZ dimpora propose aux marques de vêtements d’extérieur une matière bio aussi étanche et respirante que les tissus actuels. Cette matière innovante permet à l’industrie de renoncer aux anciens produits et processus exigeant beaucoup de ressources et nocifs pour l’environnement, au bénéfice d’une solution saine et durable.</w:t>
      </w:r>
    </w:p>
    <w:p w14:paraId="735F0C81" w14:textId="77777777" w:rsidR="00A66D5C" w:rsidRPr="00D10C89" w:rsidRDefault="00A66D5C" w:rsidP="00A66D5C">
      <w:pPr>
        <w:widowControl w:val="0"/>
        <w:autoSpaceDE w:val="0"/>
        <w:autoSpaceDN w:val="0"/>
        <w:adjustRightInd w:val="0"/>
        <w:rPr>
          <w:rFonts w:asciiTheme="majorHAnsi" w:hAnsiTheme="majorHAnsi"/>
          <w:sz w:val="22"/>
          <w:szCs w:val="22"/>
          <w:lang w:val="fr-CH"/>
        </w:rPr>
      </w:pPr>
    </w:p>
    <w:p w14:paraId="5BCC5754" w14:textId="77777777" w:rsidR="00817F60" w:rsidRPr="00D10C89" w:rsidRDefault="00817F60" w:rsidP="00817F60">
      <w:pPr>
        <w:widowControl w:val="0"/>
        <w:autoSpaceDE w:val="0"/>
        <w:autoSpaceDN w:val="0"/>
        <w:adjustRightInd w:val="0"/>
        <w:rPr>
          <w:rFonts w:asciiTheme="majorHAnsi" w:eastAsiaTheme="minorEastAsia" w:hAnsiTheme="majorHAnsi" w:cstheme="majorHAnsi"/>
          <w:lang w:val="fr-CH"/>
        </w:rPr>
      </w:pPr>
      <w:r w:rsidRPr="00D10C89">
        <w:rPr>
          <w:rFonts w:asciiTheme="majorHAnsi" w:hAnsiTheme="majorHAnsi" w:cstheme="majorHAnsi"/>
          <w:b/>
          <w:i/>
          <w:sz w:val="22"/>
          <w:szCs w:val="22"/>
          <w:lang w:val="fr-CH"/>
        </w:rPr>
        <w:t>LEDCity AG de Zurich (ZH) – Ampoules LED intelligentes pour un éclairage à plus faible consommation d’énergie</w:t>
      </w:r>
    </w:p>
    <w:p w14:paraId="7545A950" w14:textId="55CA962F" w:rsidR="00A66D5C" w:rsidRPr="00D10C89" w:rsidRDefault="00817F60" w:rsidP="00817F60">
      <w:pPr>
        <w:widowControl w:val="0"/>
        <w:autoSpaceDE w:val="0"/>
        <w:autoSpaceDN w:val="0"/>
        <w:adjustRightInd w:val="0"/>
        <w:rPr>
          <w:rFonts w:asciiTheme="majorHAnsi" w:hAnsiTheme="majorHAnsi" w:cstheme="majorHAnsi"/>
          <w:sz w:val="22"/>
          <w:szCs w:val="22"/>
          <w:lang w:val="fr-CH"/>
        </w:rPr>
      </w:pPr>
      <w:r w:rsidRPr="00D10C89">
        <w:rPr>
          <w:rFonts w:asciiTheme="majorHAnsi" w:hAnsiTheme="majorHAnsi" w:cstheme="majorHAnsi"/>
          <w:sz w:val="22"/>
          <w:szCs w:val="22"/>
          <w:lang w:val="fr-CH"/>
        </w:rPr>
        <w:t>L’éclairage représente jusqu’à 40% de la facture d’énergie des bâtiments commerciaux. LEDCity équipe les sources lumineuses de capteurs et d’algorithmes optimisés grâce à l’intelligence artificielle pour régler l’éclairage automatiquement. Le système «plug and play» mis au point par la start-up est géré depuis une unité de commande décentralisée, ce qui permet de faire l’économie d’un système de commande onéreux. La solution de LEDCity fait baisser la consommation d’énergie de manière draconienne, réduit les coûts d’exploitation de jusqu’à 90% et diminue la pollution de l’environnement.</w:t>
      </w:r>
    </w:p>
    <w:p w14:paraId="57F06B4E" w14:textId="77777777" w:rsidR="00817F60" w:rsidRPr="00D10C89" w:rsidRDefault="00817F60" w:rsidP="00817F60">
      <w:pPr>
        <w:widowControl w:val="0"/>
        <w:autoSpaceDE w:val="0"/>
        <w:autoSpaceDN w:val="0"/>
        <w:adjustRightInd w:val="0"/>
        <w:rPr>
          <w:rFonts w:asciiTheme="majorHAnsi" w:hAnsiTheme="majorHAnsi"/>
          <w:sz w:val="22"/>
          <w:szCs w:val="22"/>
          <w:lang w:val="fr-CH"/>
        </w:rPr>
      </w:pPr>
    </w:p>
    <w:p w14:paraId="050A27FE" w14:textId="77777777" w:rsidR="00817F60" w:rsidRPr="00D10C89" w:rsidRDefault="00817F60" w:rsidP="00817F60">
      <w:pPr>
        <w:autoSpaceDE w:val="0"/>
        <w:autoSpaceDN w:val="0"/>
        <w:rPr>
          <w:rFonts w:asciiTheme="majorHAnsi" w:hAnsiTheme="majorHAnsi" w:cstheme="majorHAnsi"/>
          <w:b/>
          <w:i/>
          <w:sz w:val="22"/>
          <w:szCs w:val="22"/>
          <w:lang w:val="fr-CH"/>
        </w:rPr>
      </w:pPr>
      <w:r w:rsidRPr="00D10C89">
        <w:rPr>
          <w:rFonts w:asciiTheme="majorHAnsi" w:hAnsiTheme="majorHAnsi" w:cstheme="majorHAnsi"/>
          <w:b/>
          <w:i/>
          <w:sz w:val="22"/>
          <w:szCs w:val="22"/>
          <w:lang w:val="fr-CH"/>
        </w:rPr>
        <w:lastRenderedPageBreak/>
        <w:t>Lumiphase AG de Zurich (ZH) – Puces à communication optique pour maîtriser l’augmentation du trafic des données</w:t>
      </w:r>
    </w:p>
    <w:p w14:paraId="71ACF2F1" w14:textId="77777777" w:rsidR="00817F60" w:rsidRPr="00D10C89" w:rsidRDefault="00817F60" w:rsidP="00817F60">
      <w:pPr>
        <w:autoSpaceDE w:val="0"/>
        <w:autoSpaceDN w:val="0"/>
        <w:rPr>
          <w:rFonts w:asciiTheme="majorHAnsi" w:hAnsiTheme="majorHAnsi" w:cstheme="majorHAnsi"/>
          <w:sz w:val="22"/>
          <w:szCs w:val="22"/>
          <w:lang w:val="fr-CH"/>
        </w:rPr>
      </w:pPr>
      <w:r w:rsidRPr="00D10C89">
        <w:rPr>
          <w:rFonts w:asciiTheme="majorHAnsi" w:hAnsiTheme="majorHAnsi" w:cstheme="majorHAnsi"/>
          <w:sz w:val="22"/>
          <w:szCs w:val="22"/>
          <w:lang w:val="fr-CH"/>
        </w:rPr>
        <w:t>Notre monde se numérise de plus en plus et le trafic des données explose. L’infrastructure soutenant les centres informatiques et les réseaux de télécommunication atteint ses limites; l’industrie a besoin d’une solution radicale. Lumiphase développe des puces de communication optique d’un nouveau genre, très bon marché, compactes et efficaces. Si l’industrie remplace les liaisons actuelles chères et nécessitant beaucoup d’énergie par une nouvelle génération de liaisons électro-optiques, un changement de paradigme de l’architecture des centres informatiques pourra avoir lieu et conduira à une utilisation plus flexible, plus efficace et plus durable des ressources utilisées pour le traitement des données.</w:t>
      </w:r>
    </w:p>
    <w:p w14:paraId="6429BB3E" w14:textId="77777777" w:rsidR="00A2129F" w:rsidRPr="00D10C89" w:rsidRDefault="00A2129F" w:rsidP="00234BE7">
      <w:pPr>
        <w:widowControl w:val="0"/>
        <w:autoSpaceDE w:val="0"/>
        <w:autoSpaceDN w:val="0"/>
        <w:adjustRightInd w:val="0"/>
        <w:rPr>
          <w:rFonts w:asciiTheme="majorHAnsi" w:eastAsiaTheme="minorEastAsia" w:hAnsiTheme="majorHAnsi" w:cs="Times"/>
          <w:b/>
          <w:i/>
          <w:sz w:val="22"/>
          <w:szCs w:val="22"/>
          <w:lang w:val="fr-CH"/>
        </w:rPr>
      </w:pPr>
    </w:p>
    <w:p w14:paraId="6C730BBA" w14:textId="708395BF" w:rsidR="00817F60" w:rsidRPr="00A70491" w:rsidRDefault="00817F60" w:rsidP="00817F60">
      <w:pPr>
        <w:widowControl w:val="0"/>
        <w:autoSpaceDE w:val="0"/>
        <w:autoSpaceDN w:val="0"/>
        <w:adjustRightInd w:val="0"/>
        <w:rPr>
          <w:rFonts w:asciiTheme="majorHAnsi" w:eastAsiaTheme="minorEastAsia" w:hAnsiTheme="majorHAnsi" w:cstheme="majorHAnsi"/>
          <w:b/>
          <w:i/>
          <w:sz w:val="22"/>
          <w:szCs w:val="22"/>
          <w:lang w:val="fr-CH"/>
        </w:rPr>
      </w:pPr>
      <w:r w:rsidRPr="00A70491">
        <w:rPr>
          <w:rFonts w:asciiTheme="majorHAnsi" w:hAnsiTheme="majorHAnsi" w:cstheme="majorHAnsi"/>
          <w:b/>
          <w:i/>
          <w:sz w:val="22"/>
          <w:szCs w:val="22"/>
          <w:lang w:val="fr-CH"/>
        </w:rPr>
        <w:t>Testmate Health de Chavannes-de-Bogis (VD) – Autotest pour les quatre maladies sexuellement transmissibles les plus courantes</w:t>
      </w:r>
    </w:p>
    <w:p w14:paraId="631E5ABA" w14:textId="1495CF31" w:rsidR="00234BE7" w:rsidRPr="00D10C89" w:rsidRDefault="00817F60" w:rsidP="00817F60">
      <w:pPr>
        <w:widowControl w:val="0"/>
        <w:autoSpaceDE w:val="0"/>
        <w:autoSpaceDN w:val="0"/>
        <w:adjustRightInd w:val="0"/>
        <w:rPr>
          <w:rFonts w:asciiTheme="majorHAnsi" w:eastAsiaTheme="minorEastAsia" w:hAnsiTheme="majorHAnsi" w:cs="Times"/>
          <w:sz w:val="22"/>
          <w:szCs w:val="22"/>
          <w:lang w:val="fr-CH"/>
        </w:rPr>
      </w:pPr>
      <w:r w:rsidRPr="00D10C89">
        <w:rPr>
          <w:rFonts w:asciiTheme="majorHAnsi" w:hAnsiTheme="majorHAnsi" w:cstheme="majorHAnsi"/>
          <w:sz w:val="22"/>
          <w:szCs w:val="22"/>
          <w:lang w:val="fr-CH"/>
        </w:rPr>
        <w:t>Le temps d’attente pour le résultat des tests d’identification des quatre maladies sexuellement transmissibles les plus fréquentes est de trois à sept jours. Testmate Health est le premier test rapide à domicile fournissant un résultat en quelques minutes, complètement anonyme, pratique et simple. Les résultats sont scannés et téléchargés sur l’application correspondante qui incite le patient à effectuer un suivi complémentaire au besoin.</w:t>
      </w:r>
    </w:p>
    <w:p w14:paraId="36C06C65" w14:textId="77777777" w:rsidR="00A2129F" w:rsidRPr="00D10C89" w:rsidRDefault="00A2129F" w:rsidP="00234BE7">
      <w:pPr>
        <w:widowControl w:val="0"/>
        <w:autoSpaceDE w:val="0"/>
        <w:autoSpaceDN w:val="0"/>
        <w:adjustRightInd w:val="0"/>
        <w:rPr>
          <w:rFonts w:asciiTheme="majorHAnsi" w:eastAsiaTheme="minorEastAsia" w:hAnsiTheme="majorHAnsi" w:cs="Times"/>
          <w:b/>
          <w:i/>
          <w:sz w:val="22"/>
          <w:szCs w:val="22"/>
          <w:lang w:val="fr-CH"/>
        </w:rPr>
      </w:pPr>
    </w:p>
    <w:p w14:paraId="6A5A6E44" w14:textId="77777777" w:rsidR="00817F60" w:rsidRPr="00D10C89" w:rsidRDefault="00817F60" w:rsidP="00817F60">
      <w:pPr>
        <w:widowControl w:val="0"/>
        <w:autoSpaceDE w:val="0"/>
        <w:autoSpaceDN w:val="0"/>
        <w:adjustRightInd w:val="0"/>
        <w:rPr>
          <w:rFonts w:asciiTheme="majorHAnsi" w:eastAsiaTheme="minorEastAsia" w:hAnsiTheme="majorHAnsi" w:cstheme="majorHAnsi"/>
          <w:b/>
          <w:i/>
          <w:sz w:val="22"/>
          <w:szCs w:val="22"/>
          <w:lang w:val="fr-CH"/>
        </w:rPr>
      </w:pPr>
      <w:r w:rsidRPr="00D10C89">
        <w:rPr>
          <w:rFonts w:asciiTheme="majorHAnsi" w:hAnsiTheme="majorHAnsi" w:cstheme="majorHAnsi"/>
          <w:b/>
          <w:i/>
          <w:sz w:val="22"/>
          <w:szCs w:val="22"/>
          <w:lang w:val="fr-CH"/>
        </w:rPr>
        <w:t>Volumina Medical SA d’Épalinges (VD) – reconstruction mammaire mini-invasive après affection cancéreuse</w:t>
      </w:r>
    </w:p>
    <w:p w14:paraId="6DDCA441" w14:textId="2A45173F" w:rsidR="00234BE7" w:rsidRPr="00D10C89" w:rsidRDefault="00817F60" w:rsidP="00817F60">
      <w:pPr>
        <w:widowControl w:val="0"/>
        <w:autoSpaceDE w:val="0"/>
        <w:autoSpaceDN w:val="0"/>
        <w:adjustRightInd w:val="0"/>
        <w:rPr>
          <w:rFonts w:asciiTheme="majorHAnsi" w:eastAsiaTheme="minorEastAsia" w:hAnsiTheme="majorHAnsi" w:cs="Times"/>
          <w:sz w:val="22"/>
          <w:szCs w:val="22"/>
          <w:lang w:val="fr-CH"/>
        </w:rPr>
      </w:pPr>
      <w:r w:rsidRPr="00D10C89">
        <w:rPr>
          <w:rFonts w:asciiTheme="majorHAnsi" w:hAnsiTheme="majorHAnsi" w:cstheme="majorHAnsi"/>
          <w:sz w:val="22"/>
          <w:szCs w:val="22"/>
          <w:lang w:val="fr-CH"/>
        </w:rPr>
        <w:t>À l’heure actuelle, les interventions de reconstruction après un cancer du sein sont chères, risquées, très invasives et les résultats sont temporaires ou d’aspect peu naturel. La spin-off de l’EPFL Volumina Medical a développé AdiPearl, un implant injectable ayant la capacité de régénérer les tissus endommagés pour la reconstruction en une seule intervention mini-invasive. AdiPearl offre aux femmes concernées une solution de reconstruction mammaire sûre, efficace, d’excellente qualité et rentable.</w:t>
      </w:r>
    </w:p>
    <w:p w14:paraId="199191AB" w14:textId="77777777" w:rsidR="00234BE7" w:rsidRPr="00D10C89" w:rsidRDefault="00234BE7" w:rsidP="002F7FA3">
      <w:pPr>
        <w:widowControl w:val="0"/>
        <w:autoSpaceDE w:val="0"/>
        <w:autoSpaceDN w:val="0"/>
        <w:adjustRightInd w:val="0"/>
        <w:rPr>
          <w:rFonts w:asciiTheme="majorHAnsi" w:hAnsiTheme="majorHAnsi"/>
          <w:sz w:val="22"/>
          <w:szCs w:val="22"/>
          <w:lang w:val="fr-CH"/>
        </w:rPr>
      </w:pPr>
    </w:p>
    <w:p w14:paraId="1476E338" w14:textId="77777777" w:rsidR="002F7FA3" w:rsidRPr="00D10C89" w:rsidRDefault="002F7FA3" w:rsidP="002F7FA3">
      <w:pPr>
        <w:widowControl w:val="0"/>
        <w:autoSpaceDE w:val="0"/>
        <w:autoSpaceDN w:val="0"/>
        <w:adjustRightInd w:val="0"/>
        <w:rPr>
          <w:rFonts w:asciiTheme="majorHAnsi" w:eastAsiaTheme="minorEastAsia" w:hAnsiTheme="majorHAnsi" w:cs="Times"/>
          <w:sz w:val="22"/>
          <w:szCs w:val="22"/>
          <w:lang w:val="fr-CH"/>
        </w:rPr>
      </w:pPr>
    </w:p>
    <w:p w14:paraId="4D23FC3C" w14:textId="77777777" w:rsidR="00817F60" w:rsidRPr="00D10C89" w:rsidRDefault="00817F60" w:rsidP="00817F60">
      <w:pPr>
        <w:widowControl w:val="0"/>
        <w:autoSpaceDE w:val="0"/>
        <w:autoSpaceDN w:val="0"/>
        <w:adjustRightInd w:val="0"/>
        <w:rPr>
          <w:rFonts w:asciiTheme="majorHAnsi" w:eastAsia="MS Mincho" w:hAnsiTheme="majorHAnsi" w:cstheme="majorHAnsi"/>
          <w:b/>
          <w:bCs/>
          <w:sz w:val="22"/>
          <w:szCs w:val="22"/>
          <w:lang w:val="fr-CH"/>
        </w:rPr>
      </w:pPr>
      <w:r w:rsidRPr="00D10C89">
        <w:rPr>
          <w:rFonts w:asciiTheme="majorHAnsi" w:eastAsia="MS Mincho" w:hAnsiTheme="majorHAnsi" w:cstheme="majorHAnsi"/>
          <w:b/>
          <w:bCs/>
          <w:sz w:val="22"/>
          <w:szCs w:val="22"/>
          <w:lang w:val="fr-CH"/>
        </w:rPr>
        <w:t>A propos des bourses de soutien W.A. De Vigier</w:t>
      </w:r>
    </w:p>
    <w:p w14:paraId="789075FE" w14:textId="77777777" w:rsidR="00817F60" w:rsidRPr="00D10C89" w:rsidRDefault="00817F60" w:rsidP="00817F60">
      <w:pPr>
        <w:widowControl w:val="0"/>
        <w:autoSpaceDE w:val="0"/>
        <w:autoSpaceDN w:val="0"/>
        <w:adjustRightInd w:val="0"/>
        <w:rPr>
          <w:rFonts w:asciiTheme="majorHAnsi" w:eastAsiaTheme="minorEastAsia" w:hAnsiTheme="majorHAnsi" w:cstheme="majorHAnsi"/>
          <w:sz w:val="22"/>
          <w:szCs w:val="22"/>
          <w:lang w:val="fr-CH"/>
        </w:rPr>
      </w:pPr>
    </w:p>
    <w:p w14:paraId="590B8D34" w14:textId="4A93A974" w:rsidR="00817F60" w:rsidRPr="00D10C89" w:rsidRDefault="00817F60" w:rsidP="00817F60">
      <w:pPr>
        <w:widowControl w:val="0"/>
        <w:autoSpaceDE w:val="0"/>
        <w:autoSpaceDN w:val="0"/>
        <w:adjustRightInd w:val="0"/>
        <w:rPr>
          <w:rFonts w:asciiTheme="majorHAnsi" w:eastAsia="MS Mincho" w:hAnsiTheme="majorHAnsi" w:cstheme="majorHAnsi"/>
          <w:sz w:val="22"/>
          <w:szCs w:val="22"/>
          <w:lang w:val="fr-CH"/>
        </w:rPr>
      </w:pPr>
      <w:bookmarkStart w:id="0" w:name="_Hlk34409035"/>
      <w:r w:rsidRPr="00D10C89">
        <w:rPr>
          <w:rFonts w:asciiTheme="majorHAnsi" w:hAnsiTheme="majorHAnsi" w:cstheme="majorHAnsi"/>
          <w:sz w:val="22"/>
          <w:szCs w:val="22"/>
          <w:lang w:val="fr-CH"/>
        </w:rPr>
        <w:t xml:space="preserve">Les bourses de soutien W.A. de Vigier sont la plus ancienne distinction destinée à de jeunes entrepreneurs et entrepreneuses en Suisse et, avec </w:t>
      </w:r>
      <w:r w:rsidR="00D72F49">
        <w:rPr>
          <w:rFonts w:asciiTheme="majorHAnsi" w:hAnsiTheme="majorHAnsi" w:cstheme="majorHAnsi"/>
          <w:sz w:val="22"/>
          <w:szCs w:val="22"/>
          <w:lang w:val="fr-CH"/>
        </w:rPr>
        <w:t>j</w:t>
      </w:r>
      <w:r w:rsidR="00D72F49" w:rsidRPr="00D72F49">
        <w:rPr>
          <w:rFonts w:asciiTheme="majorHAnsi" w:hAnsiTheme="majorHAnsi" w:cstheme="majorHAnsi"/>
          <w:sz w:val="22"/>
          <w:szCs w:val="22"/>
          <w:lang w:val="fr-CH"/>
        </w:rPr>
        <w:t xml:space="preserve">usqu'à </w:t>
      </w:r>
      <w:r w:rsidRPr="00D10C89">
        <w:rPr>
          <w:rFonts w:asciiTheme="majorHAnsi" w:hAnsiTheme="majorHAnsi" w:cstheme="majorHAnsi"/>
          <w:sz w:val="22"/>
          <w:szCs w:val="22"/>
          <w:lang w:val="fr-CH"/>
        </w:rPr>
        <w:t xml:space="preserve">CHF 500 000.– francs de dotation distribués chaque année (5 fois CHF 100 000.–), celles dont le montant est le plus élevé en Suisse. Tout au long de ses 32 années d’existence, la Fondation a attribué au total plus de 11 millions de francs en capital de départ. À ce jour, ceci a eu comme résultat une centaine de start-up performantes, des entrées en bourse menées à bien, plusieurs cessions d’entreprise profitables et surtout de nombreuses créations d’emplois. </w:t>
      </w:r>
    </w:p>
    <w:bookmarkEnd w:id="0"/>
    <w:p w14:paraId="2B34EE84" w14:textId="77777777" w:rsidR="00817F60" w:rsidRPr="00D10C89" w:rsidRDefault="00817F60" w:rsidP="00817F60">
      <w:pPr>
        <w:widowControl w:val="0"/>
        <w:autoSpaceDE w:val="0"/>
        <w:autoSpaceDN w:val="0"/>
        <w:adjustRightInd w:val="0"/>
        <w:rPr>
          <w:rFonts w:asciiTheme="majorHAnsi" w:eastAsiaTheme="minorEastAsia" w:hAnsiTheme="majorHAnsi" w:cstheme="majorHAnsi"/>
          <w:sz w:val="22"/>
          <w:szCs w:val="22"/>
          <w:lang w:val="fr-CH"/>
        </w:rPr>
      </w:pPr>
    </w:p>
    <w:p w14:paraId="28AF03A3" w14:textId="77777777" w:rsidR="00817F60" w:rsidRPr="00D10C89" w:rsidRDefault="00817F60" w:rsidP="00817F60">
      <w:pPr>
        <w:widowControl w:val="0"/>
        <w:autoSpaceDE w:val="0"/>
        <w:autoSpaceDN w:val="0"/>
        <w:adjustRightInd w:val="0"/>
        <w:rPr>
          <w:rFonts w:asciiTheme="majorHAnsi" w:eastAsia="MS Mincho" w:hAnsiTheme="majorHAnsi" w:cstheme="majorHAnsi"/>
          <w:sz w:val="22"/>
          <w:szCs w:val="22"/>
          <w:lang w:val="fr-CH"/>
        </w:rPr>
      </w:pPr>
      <w:r w:rsidRPr="00D10C89">
        <w:rPr>
          <w:rFonts w:asciiTheme="majorHAnsi" w:hAnsiTheme="majorHAnsi" w:cstheme="majorHAnsi"/>
          <w:sz w:val="22"/>
          <w:szCs w:val="22"/>
          <w:lang w:val="fr-CH"/>
        </w:rPr>
        <w:t>Les facteurs suivants sont pris en considération lors de l</w:t>
      </w:r>
      <w:r w:rsidRPr="00D10C89">
        <w:rPr>
          <w:rFonts w:asciiTheme="majorHAnsi" w:hAnsiTheme="majorHAnsi" w:cstheme="majorHAnsi"/>
          <w:sz w:val="22"/>
          <w:szCs w:val="22"/>
          <w:cs/>
          <w:lang w:val="fr-CH"/>
        </w:rPr>
        <w:t>’</w:t>
      </w:r>
      <w:r w:rsidRPr="00D10C89">
        <w:rPr>
          <w:rFonts w:asciiTheme="majorHAnsi" w:hAnsiTheme="majorHAnsi" w:cstheme="majorHAnsi"/>
          <w:sz w:val="22"/>
          <w:szCs w:val="22"/>
          <w:lang w:val="fr-CH"/>
        </w:rPr>
        <w:t>évaluation des projets: La personnalité des entrepreneurs, le caractère innovant du projet, la pertinence pour la société dans son ensemble, la faisabilité sur les plans technique et financier, ainsi que le potentiel commercial et l</w:t>
      </w:r>
      <w:r w:rsidRPr="00D10C89">
        <w:rPr>
          <w:rFonts w:asciiTheme="majorHAnsi" w:hAnsiTheme="majorHAnsi" w:cstheme="majorHAnsi"/>
          <w:sz w:val="22"/>
          <w:szCs w:val="22"/>
          <w:cs/>
          <w:lang w:val="fr-CH"/>
        </w:rPr>
        <w:t>’</w:t>
      </w:r>
      <w:r w:rsidRPr="00D10C89">
        <w:rPr>
          <w:rFonts w:asciiTheme="majorHAnsi" w:hAnsiTheme="majorHAnsi" w:cstheme="majorHAnsi"/>
          <w:sz w:val="22"/>
          <w:szCs w:val="22"/>
          <w:lang w:val="fr-CH"/>
        </w:rPr>
        <w:t>effet sur la création d</w:t>
      </w:r>
      <w:r w:rsidRPr="00D10C89">
        <w:rPr>
          <w:rFonts w:asciiTheme="majorHAnsi" w:hAnsiTheme="majorHAnsi" w:cstheme="majorHAnsi"/>
          <w:sz w:val="22"/>
          <w:szCs w:val="22"/>
          <w:cs/>
          <w:lang w:val="fr-CH"/>
        </w:rPr>
        <w:t>’</w:t>
      </w:r>
      <w:r w:rsidRPr="00D10C89">
        <w:rPr>
          <w:rFonts w:asciiTheme="majorHAnsi" w:hAnsiTheme="majorHAnsi" w:cstheme="majorHAnsi"/>
          <w:sz w:val="22"/>
          <w:szCs w:val="22"/>
          <w:lang w:val="fr-CH"/>
        </w:rPr>
        <w:t>emplois.</w:t>
      </w:r>
    </w:p>
    <w:p w14:paraId="5D2B5B35" w14:textId="77777777" w:rsidR="00817F60" w:rsidRPr="00D10C89" w:rsidRDefault="00817F60" w:rsidP="00817F60">
      <w:pPr>
        <w:widowControl w:val="0"/>
        <w:autoSpaceDE w:val="0"/>
        <w:autoSpaceDN w:val="0"/>
        <w:adjustRightInd w:val="0"/>
        <w:rPr>
          <w:rFonts w:asciiTheme="majorHAnsi" w:eastAsiaTheme="minorEastAsia" w:hAnsiTheme="majorHAnsi" w:cstheme="majorHAnsi"/>
          <w:sz w:val="22"/>
          <w:szCs w:val="22"/>
          <w:lang w:val="fr-CH"/>
        </w:rPr>
      </w:pPr>
    </w:p>
    <w:p w14:paraId="17CFF9EA" w14:textId="77777777" w:rsidR="00D72F49" w:rsidRDefault="00D72F49">
      <w:pPr>
        <w:rPr>
          <w:rFonts w:asciiTheme="majorHAnsi" w:eastAsia="MS Mincho" w:hAnsiTheme="majorHAnsi" w:cstheme="majorHAnsi"/>
          <w:b/>
          <w:bCs/>
          <w:sz w:val="22"/>
          <w:szCs w:val="22"/>
          <w:lang w:val="fr-CH"/>
        </w:rPr>
      </w:pPr>
      <w:r>
        <w:rPr>
          <w:rFonts w:asciiTheme="majorHAnsi" w:eastAsia="MS Mincho" w:hAnsiTheme="majorHAnsi" w:cstheme="majorHAnsi"/>
          <w:b/>
          <w:bCs/>
          <w:sz w:val="22"/>
          <w:szCs w:val="22"/>
          <w:lang w:val="fr-CH"/>
        </w:rPr>
        <w:br w:type="page"/>
      </w:r>
    </w:p>
    <w:p w14:paraId="6356D5AC" w14:textId="6749DDD4" w:rsidR="00817F60" w:rsidRPr="00D10C89" w:rsidRDefault="00817F60" w:rsidP="00817F60">
      <w:pPr>
        <w:widowControl w:val="0"/>
        <w:autoSpaceDE w:val="0"/>
        <w:autoSpaceDN w:val="0"/>
        <w:adjustRightInd w:val="0"/>
        <w:rPr>
          <w:rFonts w:asciiTheme="majorHAnsi" w:eastAsia="MS Mincho" w:hAnsiTheme="majorHAnsi" w:cstheme="majorHAnsi"/>
          <w:sz w:val="22"/>
          <w:szCs w:val="22"/>
          <w:lang w:val="fr-CH"/>
        </w:rPr>
      </w:pPr>
      <w:bookmarkStart w:id="1" w:name="_GoBack"/>
      <w:bookmarkEnd w:id="1"/>
      <w:r w:rsidRPr="00D10C89">
        <w:rPr>
          <w:rFonts w:asciiTheme="majorHAnsi" w:eastAsia="MS Mincho" w:hAnsiTheme="majorHAnsi" w:cstheme="majorHAnsi"/>
          <w:b/>
          <w:bCs/>
          <w:sz w:val="22"/>
          <w:szCs w:val="22"/>
          <w:lang w:val="fr-CH"/>
        </w:rPr>
        <w:lastRenderedPageBreak/>
        <w:t>Contact pour de plus amples informations</w:t>
      </w:r>
    </w:p>
    <w:p w14:paraId="15500406" w14:textId="77777777" w:rsidR="00817F60" w:rsidRPr="00D10C89" w:rsidRDefault="00817F60" w:rsidP="00817F60">
      <w:pPr>
        <w:widowControl w:val="0"/>
        <w:autoSpaceDE w:val="0"/>
        <w:autoSpaceDN w:val="0"/>
        <w:adjustRightInd w:val="0"/>
        <w:rPr>
          <w:rFonts w:asciiTheme="majorHAnsi" w:eastAsia="MS Mincho" w:hAnsiTheme="majorHAnsi" w:cstheme="majorHAnsi"/>
          <w:sz w:val="22"/>
          <w:szCs w:val="22"/>
          <w:lang w:val="fr-CH"/>
        </w:rPr>
      </w:pPr>
      <w:r w:rsidRPr="00D10C89">
        <w:rPr>
          <w:rFonts w:asciiTheme="majorHAnsi" w:eastAsia="MS Mincho" w:hAnsiTheme="majorHAnsi" w:cstheme="majorHAnsi"/>
          <w:sz w:val="22"/>
          <w:szCs w:val="22"/>
          <w:lang w:val="fr-CH"/>
        </w:rPr>
        <w:t>Fondation W.A. de Vigier</w:t>
      </w:r>
    </w:p>
    <w:p w14:paraId="39B71A2B" w14:textId="77777777" w:rsidR="00817F60" w:rsidRPr="00D10C89" w:rsidRDefault="00817F60" w:rsidP="00817F60">
      <w:pPr>
        <w:widowControl w:val="0"/>
        <w:autoSpaceDE w:val="0"/>
        <w:autoSpaceDN w:val="0"/>
        <w:adjustRightInd w:val="0"/>
        <w:rPr>
          <w:rFonts w:asciiTheme="majorHAnsi" w:eastAsia="MS Mincho" w:hAnsiTheme="majorHAnsi" w:cstheme="majorHAnsi"/>
          <w:sz w:val="22"/>
          <w:szCs w:val="22"/>
          <w:lang w:val="fr-CH"/>
        </w:rPr>
      </w:pPr>
      <w:r w:rsidRPr="00D10C89">
        <w:rPr>
          <w:rFonts w:asciiTheme="majorHAnsi" w:eastAsia="MS Mincho" w:hAnsiTheme="majorHAnsi" w:cstheme="majorHAnsi"/>
          <w:sz w:val="22"/>
          <w:szCs w:val="22"/>
          <w:lang w:val="fr-CH"/>
        </w:rPr>
        <w:t>Regula Buob, Directrice</w:t>
      </w:r>
    </w:p>
    <w:p w14:paraId="4073C21B" w14:textId="77777777" w:rsidR="00817F60" w:rsidRPr="00D10C89" w:rsidRDefault="00817F60" w:rsidP="00817F60">
      <w:pPr>
        <w:widowControl w:val="0"/>
        <w:autoSpaceDE w:val="0"/>
        <w:autoSpaceDN w:val="0"/>
        <w:adjustRightInd w:val="0"/>
        <w:rPr>
          <w:rFonts w:asciiTheme="majorHAnsi" w:eastAsia="MS Mincho" w:hAnsiTheme="majorHAnsi" w:cstheme="majorHAnsi"/>
          <w:sz w:val="22"/>
          <w:szCs w:val="22"/>
          <w:lang w:val="fr-CH"/>
        </w:rPr>
      </w:pPr>
      <w:r w:rsidRPr="00D10C89">
        <w:rPr>
          <w:rFonts w:asciiTheme="majorHAnsi" w:eastAsia="MS Mincho" w:hAnsiTheme="majorHAnsi" w:cstheme="majorHAnsi"/>
          <w:sz w:val="22"/>
          <w:szCs w:val="22"/>
          <w:lang w:val="fr-CH"/>
        </w:rPr>
        <w:t xml:space="preserve">Untere Steingrubenstrasse 25 </w:t>
      </w:r>
      <w:r w:rsidRPr="00D10C89">
        <w:rPr>
          <w:rFonts w:asciiTheme="majorHAnsi" w:hAnsiTheme="majorHAnsi" w:cstheme="majorHAnsi"/>
          <w:sz w:val="22"/>
          <w:lang w:val="fr-CH"/>
        </w:rPr>
        <w:t xml:space="preserve">| </w:t>
      </w:r>
      <w:r w:rsidRPr="00D10C89">
        <w:rPr>
          <w:rFonts w:asciiTheme="majorHAnsi" w:eastAsia="MS Mincho" w:hAnsiTheme="majorHAnsi" w:cstheme="majorHAnsi"/>
          <w:sz w:val="22"/>
          <w:szCs w:val="22"/>
          <w:lang w:val="fr-CH"/>
        </w:rPr>
        <w:t>4500 Soleure</w:t>
      </w:r>
    </w:p>
    <w:p w14:paraId="33EA6186" w14:textId="77777777" w:rsidR="00817F60" w:rsidRPr="00D10C89" w:rsidRDefault="00817F60" w:rsidP="00817F60">
      <w:pPr>
        <w:widowControl w:val="0"/>
        <w:autoSpaceDE w:val="0"/>
        <w:autoSpaceDN w:val="0"/>
        <w:adjustRightInd w:val="0"/>
        <w:rPr>
          <w:rFonts w:asciiTheme="majorHAnsi" w:eastAsia="MS Mincho" w:hAnsiTheme="majorHAnsi" w:cstheme="majorHAnsi"/>
          <w:sz w:val="22"/>
          <w:szCs w:val="22"/>
          <w:lang w:val="fr-CH"/>
        </w:rPr>
      </w:pPr>
      <w:r w:rsidRPr="00D10C89">
        <w:rPr>
          <w:rFonts w:asciiTheme="majorHAnsi" w:eastAsia="MS Mincho" w:hAnsiTheme="majorHAnsi" w:cstheme="majorHAnsi"/>
          <w:sz w:val="22"/>
          <w:szCs w:val="22"/>
          <w:lang w:val="fr-CH"/>
        </w:rPr>
        <w:t>076 390 31 15</w:t>
      </w:r>
      <w:r w:rsidRPr="00D10C89">
        <w:rPr>
          <w:rFonts w:ascii="Tahoma" w:eastAsia="MS Mincho" w:hAnsi="Tahoma" w:cs="Tahoma"/>
          <w:sz w:val="22"/>
          <w:szCs w:val="22"/>
          <w:lang w:val="fr-CH"/>
        </w:rPr>
        <w:t> </w:t>
      </w:r>
    </w:p>
    <w:p w14:paraId="41AC11BE" w14:textId="77777777" w:rsidR="00817F60" w:rsidRPr="00D10C89" w:rsidRDefault="00817F60" w:rsidP="00817F60">
      <w:pPr>
        <w:widowControl w:val="0"/>
        <w:autoSpaceDE w:val="0"/>
        <w:autoSpaceDN w:val="0"/>
        <w:adjustRightInd w:val="0"/>
        <w:rPr>
          <w:rFonts w:asciiTheme="majorHAnsi" w:eastAsia="MS Mincho" w:hAnsiTheme="majorHAnsi" w:cstheme="majorHAnsi"/>
          <w:sz w:val="22"/>
          <w:szCs w:val="22"/>
          <w:lang w:val="fr-CH"/>
        </w:rPr>
      </w:pPr>
      <w:r w:rsidRPr="00D10C89">
        <w:rPr>
          <w:rFonts w:asciiTheme="majorHAnsi" w:eastAsia="MS Mincho" w:hAnsiTheme="majorHAnsi" w:cstheme="majorHAnsi"/>
          <w:sz w:val="22"/>
          <w:szCs w:val="22"/>
          <w:lang w:val="fr-CH"/>
        </w:rPr>
        <w:t xml:space="preserve">regula.buob@devigier.ch </w:t>
      </w:r>
      <w:r w:rsidRPr="00D10C89">
        <w:rPr>
          <w:rFonts w:asciiTheme="majorHAnsi" w:hAnsiTheme="majorHAnsi" w:cstheme="majorHAnsi"/>
          <w:sz w:val="22"/>
          <w:lang w:val="fr-CH"/>
        </w:rPr>
        <w:t xml:space="preserve">| </w:t>
      </w:r>
      <w:r w:rsidRPr="00D10C89">
        <w:rPr>
          <w:rFonts w:asciiTheme="majorHAnsi" w:eastAsia="MS Mincho" w:hAnsiTheme="majorHAnsi" w:cstheme="majorHAnsi"/>
          <w:sz w:val="22"/>
          <w:szCs w:val="22"/>
          <w:lang w:val="fr-CH"/>
        </w:rPr>
        <w:t xml:space="preserve">www.devigier.ch </w:t>
      </w:r>
    </w:p>
    <w:sectPr w:rsidR="00817F60" w:rsidRPr="00D10C89" w:rsidSect="00E01346">
      <w:headerReference w:type="default" r:id="rId10"/>
      <w:footerReference w:type="even" r:id="rId11"/>
      <w:footerReference w:type="default" r:id="rId12"/>
      <w:pgSz w:w="12240" w:h="15840"/>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604F5A" w14:textId="77777777" w:rsidR="00F70BE3" w:rsidRDefault="00F70BE3" w:rsidP="00A86651">
      <w:r>
        <w:separator/>
      </w:r>
    </w:p>
  </w:endnote>
  <w:endnote w:type="continuationSeparator" w:id="0">
    <w:p w14:paraId="1253BDE6" w14:textId="77777777" w:rsidR="00F70BE3" w:rsidRDefault="00F70BE3" w:rsidP="00A86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45DB8" w14:textId="77777777" w:rsidR="00F70BE3" w:rsidRDefault="00F70BE3" w:rsidP="00692DC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3608F40" w14:textId="77777777" w:rsidR="00F70BE3" w:rsidRDefault="00F70BE3" w:rsidP="00D25769">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386D1" w14:textId="73B409A3" w:rsidR="00F70BE3" w:rsidRPr="00D25769" w:rsidRDefault="00F70BE3" w:rsidP="00692DC5">
    <w:pPr>
      <w:pStyle w:val="Fuzeile"/>
      <w:framePr w:wrap="around" w:vAnchor="text" w:hAnchor="margin" w:xAlign="right" w:y="1"/>
      <w:rPr>
        <w:rStyle w:val="Seitenzahl"/>
        <w:sz w:val="18"/>
        <w:szCs w:val="18"/>
      </w:rPr>
    </w:pPr>
    <w:r w:rsidRPr="00D25769">
      <w:rPr>
        <w:rStyle w:val="Seitenzahl"/>
        <w:sz w:val="18"/>
        <w:szCs w:val="18"/>
      </w:rPr>
      <w:fldChar w:fldCharType="begin"/>
    </w:r>
    <w:r w:rsidRPr="00D25769">
      <w:rPr>
        <w:rStyle w:val="Seitenzahl"/>
        <w:sz w:val="18"/>
        <w:szCs w:val="18"/>
      </w:rPr>
      <w:instrText xml:space="preserve">PAGE  </w:instrText>
    </w:r>
    <w:r w:rsidRPr="00D25769">
      <w:rPr>
        <w:rStyle w:val="Seitenzahl"/>
        <w:sz w:val="18"/>
        <w:szCs w:val="18"/>
      </w:rPr>
      <w:fldChar w:fldCharType="separate"/>
    </w:r>
    <w:r w:rsidR="00D72F49">
      <w:rPr>
        <w:rStyle w:val="Seitenzahl"/>
        <w:noProof/>
        <w:sz w:val="18"/>
        <w:szCs w:val="18"/>
      </w:rPr>
      <w:t>1</w:t>
    </w:r>
    <w:r w:rsidRPr="00D25769">
      <w:rPr>
        <w:rStyle w:val="Seitenzahl"/>
        <w:sz w:val="18"/>
        <w:szCs w:val="18"/>
      </w:rPr>
      <w:fldChar w:fldCharType="end"/>
    </w:r>
    <w:r w:rsidRPr="00D25769">
      <w:rPr>
        <w:rStyle w:val="Seitenzahl"/>
        <w:sz w:val="18"/>
        <w:szCs w:val="18"/>
      </w:rPr>
      <w:t>/3</w:t>
    </w:r>
  </w:p>
  <w:p w14:paraId="5F53F539" w14:textId="77777777" w:rsidR="00F70BE3" w:rsidRDefault="00F70BE3" w:rsidP="00D25769">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174A66" w14:textId="77777777" w:rsidR="00F70BE3" w:rsidRDefault="00F70BE3" w:rsidP="00A86651">
      <w:r>
        <w:separator/>
      </w:r>
    </w:p>
  </w:footnote>
  <w:footnote w:type="continuationSeparator" w:id="0">
    <w:p w14:paraId="428D8A80" w14:textId="77777777" w:rsidR="00F70BE3" w:rsidRDefault="00F70BE3" w:rsidP="00A866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FD058" w14:textId="2C7F7B83" w:rsidR="00F70BE3" w:rsidRDefault="00F70BE3">
    <w:pPr>
      <w:pStyle w:val="Kopfzeile"/>
    </w:pPr>
    <w:r w:rsidRPr="00BB2CC3">
      <w:rPr>
        <w:rFonts w:asciiTheme="majorHAnsi" w:hAnsiTheme="majorHAnsi"/>
        <w:noProof/>
        <w:sz w:val="22"/>
        <w:szCs w:val="22"/>
        <w:lang w:val="de-DE" w:eastAsia="de-DE"/>
      </w:rPr>
      <w:drawing>
        <wp:inline distT="0" distB="0" distL="0" distR="0" wp14:anchorId="31B22B1B" wp14:editId="1B2C6E79">
          <wp:extent cx="2062046" cy="489229"/>
          <wp:effectExtent l="0" t="0" r="0" b="0"/>
          <wp:docPr id="1" name="Bild 1" descr="Macintosh HD:Users:sophieeverett:Desktop:de_vigier:HQ_Logo_DeVigier_cmyk_60SW_sins19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ophieeverett:Desktop:de_vigier:HQ_Logo_DeVigier_cmyk_60SW_sins198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5383" cy="490021"/>
                  </a:xfrm>
                  <a:prstGeom prst="rect">
                    <a:avLst/>
                  </a:prstGeom>
                  <a:noFill/>
                  <a:ln>
                    <a:noFill/>
                  </a:ln>
                </pic:spPr>
              </pic:pic>
            </a:graphicData>
          </a:graphic>
        </wp:inline>
      </w:drawing>
    </w:r>
  </w:p>
  <w:p w14:paraId="6ADA864E" w14:textId="77777777" w:rsidR="00F70BE3" w:rsidRDefault="00F70BE3">
    <w:pPr>
      <w:pStyle w:val="Kopfzeile"/>
    </w:pPr>
  </w:p>
  <w:p w14:paraId="5C5F4FA0" w14:textId="77777777" w:rsidR="00F70BE3" w:rsidRDefault="00F70BE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C1D"/>
    <w:rsid w:val="00000872"/>
    <w:rsid w:val="00005B75"/>
    <w:rsid w:val="000261D8"/>
    <w:rsid w:val="0007506D"/>
    <w:rsid w:val="000B3AA9"/>
    <w:rsid w:val="001013C7"/>
    <w:rsid w:val="00130CD0"/>
    <w:rsid w:val="00143B68"/>
    <w:rsid w:val="001C2DFB"/>
    <w:rsid w:val="00234BE7"/>
    <w:rsid w:val="00270AC0"/>
    <w:rsid w:val="00284C79"/>
    <w:rsid w:val="002A5C6A"/>
    <w:rsid w:val="002D761E"/>
    <w:rsid w:val="002F7FA3"/>
    <w:rsid w:val="00363ED1"/>
    <w:rsid w:val="003A23B6"/>
    <w:rsid w:val="003C15CE"/>
    <w:rsid w:val="00412B4B"/>
    <w:rsid w:val="0041530F"/>
    <w:rsid w:val="00505784"/>
    <w:rsid w:val="00530AE6"/>
    <w:rsid w:val="00534D6C"/>
    <w:rsid w:val="00541EA7"/>
    <w:rsid w:val="005B3577"/>
    <w:rsid w:val="005C0C1D"/>
    <w:rsid w:val="00651143"/>
    <w:rsid w:val="006808C8"/>
    <w:rsid w:val="006903BB"/>
    <w:rsid w:val="00692DC5"/>
    <w:rsid w:val="006A3BB5"/>
    <w:rsid w:val="006F299F"/>
    <w:rsid w:val="0070076B"/>
    <w:rsid w:val="007010B6"/>
    <w:rsid w:val="0074236F"/>
    <w:rsid w:val="007E47BA"/>
    <w:rsid w:val="007F1356"/>
    <w:rsid w:val="007F23F5"/>
    <w:rsid w:val="00817F60"/>
    <w:rsid w:val="0083734F"/>
    <w:rsid w:val="00896E2D"/>
    <w:rsid w:val="008B63DE"/>
    <w:rsid w:val="008D53B0"/>
    <w:rsid w:val="008E5043"/>
    <w:rsid w:val="008F01EA"/>
    <w:rsid w:val="009128EC"/>
    <w:rsid w:val="0093067B"/>
    <w:rsid w:val="00940AD7"/>
    <w:rsid w:val="00953839"/>
    <w:rsid w:val="009D676D"/>
    <w:rsid w:val="00A046AE"/>
    <w:rsid w:val="00A04E38"/>
    <w:rsid w:val="00A054FF"/>
    <w:rsid w:val="00A2129F"/>
    <w:rsid w:val="00A21C8F"/>
    <w:rsid w:val="00A66D5C"/>
    <w:rsid w:val="00A70491"/>
    <w:rsid w:val="00A86651"/>
    <w:rsid w:val="00A945FA"/>
    <w:rsid w:val="00AC6141"/>
    <w:rsid w:val="00AD26FF"/>
    <w:rsid w:val="00AF30A1"/>
    <w:rsid w:val="00B0506F"/>
    <w:rsid w:val="00B41E09"/>
    <w:rsid w:val="00B525A4"/>
    <w:rsid w:val="00B77819"/>
    <w:rsid w:val="00BA0D25"/>
    <w:rsid w:val="00BB2CC3"/>
    <w:rsid w:val="00C102A9"/>
    <w:rsid w:val="00C420F5"/>
    <w:rsid w:val="00C53291"/>
    <w:rsid w:val="00C86B93"/>
    <w:rsid w:val="00CB5208"/>
    <w:rsid w:val="00CC2911"/>
    <w:rsid w:val="00D10C89"/>
    <w:rsid w:val="00D25769"/>
    <w:rsid w:val="00D328E0"/>
    <w:rsid w:val="00D54DD3"/>
    <w:rsid w:val="00D72A19"/>
    <w:rsid w:val="00D72F49"/>
    <w:rsid w:val="00DA44EB"/>
    <w:rsid w:val="00DC7979"/>
    <w:rsid w:val="00DD3163"/>
    <w:rsid w:val="00E01346"/>
    <w:rsid w:val="00E2715E"/>
    <w:rsid w:val="00E543AC"/>
    <w:rsid w:val="00EB2710"/>
    <w:rsid w:val="00ED3927"/>
    <w:rsid w:val="00ED63A0"/>
    <w:rsid w:val="00EE74EE"/>
    <w:rsid w:val="00F70BE3"/>
    <w:rsid w:val="00FC1D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41C0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F7FA3"/>
    <w:rPr>
      <w:rFonts w:eastAsia="Times New Roman"/>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5C0C1D"/>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5C0C1D"/>
    <w:rPr>
      <w:rFonts w:ascii="Lucida Grande" w:eastAsia="Times New Roman" w:hAnsi="Lucida Grande" w:cs="Lucida Grande"/>
      <w:sz w:val="18"/>
      <w:szCs w:val="18"/>
      <w:lang w:val="de-CH"/>
    </w:rPr>
  </w:style>
  <w:style w:type="paragraph" w:styleId="Kopfzeile">
    <w:name w:val="header"/>
    <w:basedOn w:val="Standard"/>
    <w:link w:val="KopfzeileZeichen"/>
    <w:uiPriority w:val="99"/>
    <w:unhideWhenUsed/>
    <w:rsid w:val="00A86651"/>
    <w:pPr>
      <w:tabs>
        <w:tab w:val="center" w:pos="4536"/>
        <w:tab w:val="right" w:pos="9072"/>
      </w:tabs>
    </w:pPr>
  </w:style>
  <w:style w:type="character" w:customStyle="1" w:styleId="KopfzeileZeichen">
    <w:name w:val="Kopfzeile Zeichen"/>
    <w:basedOn w:val="Absatzstandardschriftart"/>
    <w:link w:val="Kopfzeile"/>
    <w:uiPriority w:val="99"/>
    <w:rsid w:val="00A86651"/>
    <w:rPr>
      <w:rFonts w:eastAsia="Times New Roman"/>
      <w:lang w:val="de-CH"/>
    </w:rPr>
  </w:style>
  <w:style w:type="paragraph" w:styleId="Fuzeile">
    <w:name w:val="footer"/>
    <w:basedOn w:val="Standard"/>
    <w:link w:val="FuzeileZeichen"/>
    <w:uiPriority w:val="99"/>
    <w:unhideWhenUsed/>
    <w:rsid w:val="00A86651"/>
    <w:pPr>
      <w:tabs>
        <w:tab w:val="center" w:pos="4536"/>
        <w:tab w:val="right" w:pos="9072"/>
      </w:tabs>
    </w:pPr>
  </w:style>
  <w:style w:type="character" w:customStyle="1" w:styleId="FuzeileZeichen">
    <w:name w:val="Fußzeile Zeichen"/>
    <w:basedOn w:val="Absatzstandardschriftart"/>
    <w:link w:val="Fuzeile"/>
    <w:uiPriority w:val="99"/>
    <w:rsid w:val="00A86651"/>
    <w:rPr>
      <w:rFonts w:eastAsia="Times New Roman"/>
      <w:lang w:val="de-CH"/>
    </w:rPr>
  </w:style>
  <w:style w:type="character" w:styleId="Link">
    <w:name w:val="Hyperlink"/>
    <w:basedOn w:val="Absatzstandardschriftart"/>
    <w:uiPriority w:val="99"/>
    <w:unhideWhenUsed/>
    <w:rsid w:val="00B525A4"/>
    <w:rPr>
      <w:color w:val="0000FF" w:themeColor="hyperlink"/>
      <w:u w:val="single"/>
    </w:rPr>
  </w:style>
  <w:style w:type="character" w:customStyle="1" w:styleId="il">
    <w:name w:val="il"/>
    <w:basedOn w:val="Absatzstandardschriftart"/>
    <w:rsid w:val="00B0506F"/>
  </w:style>
  <w:style w:type="character" w:customStyle="1" w:styleId="x-text-content-text-subheadline">
    <w:name w:val="x-text-content-text-subheadline"/>
    <w:basedOn w:val="Absatzstandardschriftart"/>
    <w:rsid w:val="00FC1DE6"/>
  </w:style>
  <w:style w:type="character" w:styleId="Betont">
    <w:name w:val="Strong"/>
    <w:basedOn w:val="Absatzstandardschriftart"/>
    <w:uiPriority w:val="22"/>
    <w:qFormat/>
    <w:rsid w:val="00FC1DE6"/>
    <w:rPr>
      <w:b/>
      <w:bCs/>
    </w:rPr>
  </w:style>
  <w:style w:type="character" w:styleId="Seitenzahl">
    <w:name w:val="page number"/>
    <w:basedOn w:val="Absatzstandardschriftart"/>
    <w:uiPriority w:val="99"/>
    <w:semiHidden/>
    <w:unhideWhenUsed/>
    <w:rsid w:val="00D25769"/>
  </w:style>
  <w:style w:type="paragraph" w:styleId="StandardWeb">
    <w:name w:val="Normal (Web)"/>
    <w:basedOn w:val="Standard"/>
    <w:uiPriority w:val="99"/>
    <w:semiHidden/>
    <w:unhideWhenUsed/>
    <w:rsid w:val="00DD3163"/>
    <w:pPr>
      <w:spacing w:before="100" w:beforeAutospacing="1" w:after="100" w:afterAutospacing="1"/>
    </w:pPr>
    <w:rPr>
      <w:rFonts w:ascii="Times" w:eastAsiaTheme="minorEastAsia" w:hAnsi="Times"/>
      <w:sz w:val="20"/>
      <w:szCs w:val="20"/>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F7FA3"/>
    <w:rPr>
      <w:rFonts w:eastAsia="Times New Roman"/>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5C0C1D"/>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5C0C1D"/>
    <w:rPr>
      <w:rFonts w:ascii="Lucida Grande" w:eastAsia="Times New Roman" w:hAnsi="Lucida Grande" w:cs="Lucida Grande"/>
      <w:sz w:val="18"/>
      <w:szCs w:val="18"/>
      <w:lang w:val="de-CH"/>
    </w:rPr>
  </w:style>
  <w:style w:type="paragraph" w:styleId="Kopfzeile">
    <w:name w:val="header"/>
    <w:basedOn w:val="Standard"/>
    <w:link w:val="KopfzeileZeichen"/>
    <w:uiPriority w:val="99"/>
    <w:unhideWhenUsed/>
    <w:rsid w:val="00A86651"/>
    <w:pPr>
      <w:tabs>
        <w:tab w:val="center" w:pos="4536"/>
        <w:tab w:val="right" w:pos="9072"/>
      </w:tabs>
    </w:pPr>
  </w:style>
  <w:style w:type="character" w:customStyle="1" w:styleId="KopfzeileZeichen">
    <w:name w:val="Kopfzeile Zeichen"/>
    <w:basedOn w:val="Absatzstandardschriftart"/>
    <w:link w:val="Kopfzeile"/>
    <w:uiPriority w:val="99"/>
    <w:rsid w:val="00A86651"/>
    <w:rPr>
      <w:rFonts w:eastAsia="Times New Roman"/>
      <w:lang w:val="de-CH"/>
    </w:rPr>
  </w:style>
  <w:style w:type="paragraph" w:styleId="Fuzeile">
    <w:name w:val="footer"/>
    <w:basedOn w:val="Standard"/>
    <w:link w:val="FuzeileZeichen"/>
    <w:uiPriority w:val="99"/>
    <w:unhideWhenUsed/>
    <w:rsid w:val="00A86651"/>
    <w:pPr>
      <w:tabs>
        <w:tab w:val="center" w:pos="4536"/>
        <w:tab w:val="right" w:pos="9072"/>
      </w:tabs>
    </w:pPr>
  </w:style>
  <w:style w:type="character" w:customStyle="1" w:styleId="FuzeileZeichen">
    <w:name w:val="Fußzeile Zeichen"/>
    <w:basedOn w:val="Absatzstandardschriftart"/>
    <w:link w:val="Fuzeile"/>
    <w:uiPriority w:val="99"/>
    <w:rsid w:val="00A86651"/>
    <w:rPr>
      <w:rFonts w:eastAsia="Times New Roman"/>
      <w:lang w:val="de-CH"/>
    </w:rPr>
  </w:style>
  <w:style w:type="character" w:styleId="Link">
    <w:name w:val="Hyperlink"/>
    <w:basedOn w:val="Absatzstandardschriftart"/>
    <w:uiPriority w:val="99"/>
    <w:unhideWhenUsed/>
    <w:rsid w:val="00B525A4"/>
    <w:rPr>
      <w:color w:val="0000FF" w:themeColor="hyperlink"/>
      <w:u w:val="single"/>
    </w:rPr>
  </w:style>
  <w:style w:type="character" w:customStyle="1" w:styleId="il">
    <w:name w:val="il"/>
    <w:basedOn w:val="Absatzstandardschriftart"/>
    <w:rsid w:val="00B0506F"/>
  </w:style>
  <w:style w:type="character" w:customStyle="1" w:styleId="x-text-content-text-subheadline">
    <w:name w:val="x-text-content-text-subheadline"/>
    <w:basedOn w:val="Absatzstandardschriftart"/>
    <w:rsid w:val="00FC1DE6"/>
  </w:style>
  <w:style w:type="character" w:styleId="Betont">
    <w:name w:val="Strong"/>
    <w:basedOn w:val="Absatzstandardschriftart"/>
    <w:uiPriority w:val="22"/>
    <w:qFormat/>
    <w:rsid w:val="00FC1DE6"/>
    <w:rPr>
      <w:b/>
      <w:bCs/>
    </w:rPr>
  </w:style>
  <w:style w:type="character" w:styleId="Seitenzahl">
    <w:name w:val="page number"/>
    <w:basedOn w:val="Absatzstandardschriftart"/>
    <w:uiPriority w:val="99"/>
    <w:semiHidden/>
    <w:unhideWhenUsed/>
    <w:rsid w:val="00D25769"/>
  </w:style>
  <w:style w:type="paragraph" w:styleId="StandardWeb">
    <w:name w:val="Normal (Web)"/>
    <w:basedOn w:val="Standard"/>
    <w:uiPriority w:val="99"/>
    <w:semiHidden/>
    <w:unhideWhenUsed/>
    <w:rsid w:val="00DD3163"/>
    <w:pPr>
      <w:spacing w:before="100" w:beforeAutospacing="1" w:after="100" w:afterAutospacing="1"/>
    </w:pPr>
    <w:rPr>
      <w:rFonts w:ascii="Times" w:eastAsiaTheme="minorEastAsia" w:hAnsi="Time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14228">
      <w:bodyDiv w:val="1"/>
      <w:marLeft w:val="0"/>
      <w:marRight w:val="0"/>
      <w:marTop w:val="0"/>
      <w:marBottom w:val="0"/>
      <w:divBdr>
        <w:top w:val="none" w:sz="0" w:space="0" w:color="auto"/>
        <w:left w:val="none" w:sz="0" w:space="0" w:color="auto"/>
        <w:bottom w:val="none" w:sz="0" w:space="0" w:color="auto"/>
        <w:right w:val="none" w:sz="0" w:space="0" w:color="auto"/>
      </w:divBdr>
    </w:div>
    <w:div w:id="429473731">
      <w:bodyDiv w:val="1"/>
      <w:marLeft w:val="0"/>
      <w:marRight w:val="0"/>
      <w:marTop w:val="0"/>
      <w:marBottom w:val="0"/>
      <w:divBdr>
        <w:top w:val="none" w:sz="0" w:space="0" w:color="auto"/>
        <w:left w:val="none" w:sz="0" w:space="0" w:color="auto"/>
        <w:bottom w:val="none" w:sz="0" w:space="0" w:color="auto"/>
        <w:right w:val="none" w:sz="0" w:space="0" w:color="auto"/>
      </w:divBdr>
    </w:div>
    <w:div w:id="1396661632">
      <w:bodyDiv w:val="1"/>
      <w:marLeft w:val="0"/>
      <w:marRight w:val="0"/>
      <w:marTop w:val="0"/>
      <w:marBottom w:val="0"/>
      <w:divBdr>
        <w:top w:val="none" w:sz="0" w:space="0" w:color="auto"/>
        <w:left w:val="none" w:sz="0" w:space="0" w:color="auto"/>
        <w:bottom w:val="none" w:sz="0" w:space="0" w:color="auto"/>
        <w:right w:val="none" w:sz="0" w:space="0" w:color="auto"/>
      </w:divBdr>
    </w:div>
    <w:div w:id="1514682184">
      <w:bodyDiv w:val="1"/>
      <w:marLeft w:val="0"/>
      <w:marRight w:val="0"/>
      <w:marTop w:val="0"/>
      <w:marBottom w:val="0"/>
      <w:divBdr>
        <w:top w:val="none" w:sz="0" w:space="0" w:color="auto"/>
        <w:left w:val="none" w:sz="0" w:space="0" w:color="auto"/>
        <w:bottom w:val="none" w:sz="0" w:space="0" w:color="auto"/>
        <w:right w:val="none" w:sz="0" w:space="0" w:color="auto"/>
      </w:divBdr>
    </w:div>
    <w:div w:id="19068400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9F7637C218514F893D411B751E8CCB" ma:contentTypeVersion="15" ma:contentTypeDescription="Create a new document." ma:contentTypeScope="" ma:versionID="912c8f33a78dabea2d32540d11dd3c46">
  <xsd:schema xmlns:xsd="http://www.w3.org/2001/XMLSchema" xmlns:xs="http://www.w3.org/2001/XMLSchema" xmlns:p="http://schemas.microsoft.com/office/2006/metadata/properties" xmlns:ns3="c5c04052-c567-409d-908d-69320987ce93" xmlns:ns4="e54881f5-97c5-4131-b27a-1b2d27a79e38" targetNamespace="http://schemas.microsoft.com/office/2006/metadata/properties" ma:root="true" ma:fieldsID="791249a64bf48814e7b3a425d6cdba84" ns3:_="" ns4:_="">
    <xsd:import namespace="c5c04052-c567-409d-908d-69320987ce93"/>
    <xsd:import namespace="e54881f5-97c5-4131-b27a-1b2d27a79e38"/>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c04052-c567-409d-908d-69320987ce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54881f5-97c5-4131-b27a-1b2d27a79e38"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289E3A-D142-41ED-B20C-23AEFB7D56DE}">
  <ds:schemaRefs>
    <ds:schemaRef ds:uri="http://schemas.microsoft.com/sharepoint/v3/contenttype/forms"/>
  </ds:schemaRefs>
</ds:datastoreItem>
</file>

<file path=customXml/itemProps2.xml><?xml version="1.0" encoding="utf-8"?>
<ds:datastoreItem xmlns:ds="http://schemas.openxmlformats.org/officeDocument/2006/customXml" ds:itemID="{64C2552E-EAF8-44CF-A315-846B1786B2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6F49DA-ED1E-4DEB-B943-2A2F39E38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c04052-c567-409d-908d-69320987ce93"/>
    <ds:schemaRef ds:uri="e54881f5-97c5-4131-b27a-1b2d27a79e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863</Words>
  <Characters>5441</Characters>
  <Application>Microsoft Macintosh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dc:creator>
  <cp:keywords/>
  <dc:description/>
  <cp:lastModifiedBy>SOPHIE</cp:lastModifiedBy>
  <cp:revision>9</cp:revision>
  <cp:lastPrinted>2021-06-03T15:24:00Z</cp:lastPrinted>
  <dcterms:created xsi:type="dcterms:W3CDTF">2021-06-03T15:25:00Z</dcterms:created>
  <dcterms:modified xsi:type="dcterms:W3CDTF">2021-06-06T17:01:00Z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0x010100A99F7637C218514F893D411B751E8CCB</vt:lpwstr>
  </property>
</Properties>
</file>