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9758" w14:textId="77777777" w:rsidR="00191BC4" w:rsidRPr="00E26E82" w:rsidRDefault="00191BC4" w:rsidP="00191BC4">
      <w:pPr>
        <w:widowControl w:val="0"/>
        <w:autoSpaceDE w:val="0"/>
        <w:autoSpaceDN w:val="0"/>
        <w:adjustRightInd w:val="0"/>
        <w:rPr>
          <w:rFonts w:asciiTheme="minorHAnsi" w:hAnsiTheme="minorHAnsi" w:cstheme="minorHAnsi"/>
          <w:color w:val="000000" w:themeColor="text1"/>
          <w:sz w:val="22"/>
          <w:szCs w:val="22"/>
          <w:lang w:val="en-US"/>
        </w:rPr>
      </w:pPr>
      <w:proofErr w:type="spellStart"/>
      <w:r w:rsidRPr="00E26E82">
        <w:rPr>
          <w:rFonts w:asciiTheme="minorHAnsi" w:hAnsiTheme="minorHAnsi" w:cstheme="minorHAnsi"/>
          <w:color w:val="000000" w:themeColor="text1"/>
          <w:sz w:val="22"/>
          <w:szCs w:val="22"/>
          <w:lang w:val="en-US"/>
        </w:rPr>
        <w:t>Medienmitteilung</w:t>
      </w:r>
      <w:proofErr w:type="spellEnd"/>
    </w:p>
    <w:p w14:paraId="12DAD410" w14:textId="77777777" w:rsidR="00191BC4" w:rsidRPr="00E26E82" w:rsidRDefault="00191BC4" w:rsidP="00191BC4">
      <w:pPr>
        <w:widowControl w:val="0"/>
        <w:autoSpaceDE w:val="0"/>
        <w:autoSpaceDN w:val="0"/>
        <w:adjustRightInd w:val="0"/>
        <w:rPr>
          <w:rFonts w:asciiTheme="minorHAnsi" w:hAnsiTheme="minorHAnsi" w:cstheme="minorHAnsi"/>
          <w:color w:val="000000" w:themeColor="text1"/>
          <w:sz w:val="22"/>
          <w:szCs w:val="22"/>
          <w:lang w:val="en-US"/>
        </w:rPr>
      </w:pPr>
    </w:p>
    <w:p w14:paraId="700620C5" w14:textId="3750D3D7" w:rsidR="00191BC4" w:rsidRPr="00E26E82" w:rsidRDefault="0049473C" w:rsidP="00191BC4">
      <w:pPr>
        <w:widowControl w:val="0"/>
        <w:autoSpaceDE w:val="0"/>
        <w:autoSpaceDN w:val="0"/>
        <w:adjustRightInd w:val="0"/>
        <w:rPr>
          <w:rFonts w:asciiTheme="minorHAnsi" w:hAnsiTheme="minorHAnsi" w:cstheme="minorHAnsi"/>
          <w:color w:val="000000" w:themeColor="text1"/>
          <w:sz w:val="22"/>
          <w:szCs w:val="22"/>
          <w:lang w:val="en-US"/>
        </w:rPr>
      </w:pPr>
      <w:r w:rsidRPr="00E26E82">
        <w:rPr>
          <w:rFonts w:asciiTheme="minorHAnsi" w:hAnsiTheme="minorHAnsi" w:cstheme="minorHAnsi"/>
          <w:noProof/>
          <w:color w:val="000000" w:themeColor="text1"/>
          <w:sz w:val="22"/>
          <w:szCs w:val="22"/>
          <w:lang w:val="en-US"/>
        </w:rPr>
        <w:drawing>
          <wp:inline distT="0" distB="0" distL="0" distR="0" wp14:anchorId="32DBB952" wp14:editId="39B4A16C">
            <wp:extent cx="5972810" cy="3355340"/>
            <wp:effectExtent l="12700" t="12700" r="8890" b="10160"/>
            <wp:docPr id="346406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6001" name="Picture 1"/>
                    <pic:cNvPicPr/>
                  </pic:nvPicPr>
                  <pic:blipFill>
                    <a:blip r:embed="rId6"/>
                    <a:stretch>
                      <a:fillRect/>
                    </a:stretch>
                  </pic:blipFill>
                  <pic:spPr>
                    <a:xfrm>
                      <a:off x="0" y="0"/>
                      <a:ext cx="5972810" cy="3355340"/>
                    </a:xfrm>
                    <a:prstGeom prst="rect">
                      <a:avLst/>
                    </a:prstGeom>
                    <a:ln>
                      <a:solidFill>
                        <a:schemeClr val="bg1">
                          <a:lumMod val="85000"/>
                        </a:schemeClr>
                      </a:solidFill>
                    </a:ln>
                  </pic:spPr>
                </pic:pic>
              </a:graphicData>
            </a:graphic>
          </wp:inline>
        </w:drawing>
      </w:r>
    </w:p>
    <w:p w14:paraId="36241B8B" w14:textId="77777777" w:rsidR="00191BC4" w:rsidRPr="00E26E82" w:rsidRDefault="00191BC4" w:rsidP="00191BC4">
      <w:pPr>
        <w:widowControl w:val="0"/>
        <w:autoSpaceDE w:val="0"/>
        <w:autoSpaceDN w:val="0"/>
        <w:adjustRightInd w:val="0"/>
        <w:rPr>
          <w:rFonts w:asciiTheme="minorHAnsi" w:hAnsiTheme="minorHAnsi" w:cstheme="minorHAnsi"/>
          <w:color w:val="000000" w:themeColor="text1"/>
          <w:sz w:val="22"/>
          <w:szCs w:val="22"/>
          <w:lang w:val="en-US"/>
        </w:rPr>
      </w:pPr>
    </w:p>
    <w:p w14:paraId="224169DB" w14:textId="1F8C66BA" w:rsidR="00191BC4" w:rsidRPr="00E26E82" w:rsidRDefault="00191BC4" w:rsidP="0049473C">
      <w:pPr>
        <w:rPr>
          <w:rFonts w:asciiTheme="minorHAnsi" w:hAnsiTheme="minorHAnsi" w:cstheme="minorHAnsi"/>
          <w:sz w:val="22"/>
          <w:szCs w:val="22"/>
          <w:lang w:val="de-DE" w:eastAsia="en-US"/>
        </w:rPr>
      </w:pPr>
      <w:r w:rsidRPr="00E26E82">
        <w:rPr>
          <w:rFonts w:asciiTheme="minorHAnsi" w:hAnsiTheme="minorHAnsi" w:cstheme="minorHAnsi"/>
          <w:sz w:val="22"/>
          <w:szCs w:val="22"/>
          <w:lang w:val="de-DE" w:eastAsia="en-US"/>
        </w:rPr>
        <w:t>W.A. de Vigier Preise 202</w:t>
      </w:r>
      <w:r w:rsidR="0049473C" w:rsidRPr="00E26E82">
        <w:rPr>
          <w:rFonts w:asciiTheme="minorHAnsi" w:hAnsiTheme="minorHAnsi" w:cstheme="minorHAnsi"/>
          <w:sz w:val="22"/>
          <w:szCs w:val="22"/>
          <w:lang w:val="de-DE" w:eastAsia="en-US"/>
        </w:rPr>
        <w:t>6</w:t>
      </w:r>
    </w:p>
    <w:p w14:paraId="59046C44" w14:textId="125BEABF" w:rsidR="0049473C" w:rsidRPr="00E26E82" w:rsidRDefault="0049473C" w:rsidP="0049473C">
      <w:pPr>
        <w:pStyle w:val="font-claude-response-body"/>
        <w:spacing w:before="0" w:beforeAutospacing="0" w:after="0" w:afterAutospacing="0"/>
        <w:rPr>
          <w:rStyle w:val="Emphasis"/>
          <w:rFonts w:asciiTheme="minorHAnsi" w:hAnsiTheme="minorHAnsi" w:cstheme="minorHAnsi"/>
          <w:b/>
          <w:bCs/>
          <w:i w:val="0"/>
          <w:iCs w:val="0"/>
          <w:color w:val="000000"/>
          <w:sz w:val="28"/>
          <w:szCs w:val="28"/>
          <w:lang w:val="de-DE"/>
        </w:rPr>
      </w:pPr>
      <w:r w:rsidRPr="00E26E82">
        <w:rPr>
          <w:rStyle w:val="Emphasis"/>
          <w:rFonts w:asciiTheme="minorHAnsi" w:hAnsiTheme="minorHAnsi" w:cstheme="minorHAnsi"/>
          <w:b/>
          <w:bCs/>
          <w:i w:val="0"/>
          <w:iCs w:val="0"/>
          <w:color w:val="000000"/>
          <w:sz w:val="28"/>
          <w:szCs w:val="28"/>
          <w:lang w:val="de-DE"/>
        </w:rPr>
        <w:t>Die W.A. de Vigier Stiftung gibt ihre zehn Nominierten bekannt</w:t>
      </w:r>
    </w:p>
    <w:p w14:paraId="6CC76F35" w14:textId="77777777"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p>
    <w:p w14:paraId="373E0919" w14:textId="501AD02D" w:rsidR="0049473C" w:rsidRPr="00E26E82" w:rsidRDefault="0049473C" w:rsidP="0049473C">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color w:val="000000"/>
          <w:sz w:val="22"/>
          <w:szCs w:val="22"/>
          <w:lang w:val="de-DE"/>
        </w:rPr>
        <w:t xml:space="preserve">Solothurn, 12. Mai 2026 – </w:t>
      </w:r>
      <w:r w:rsidRPr="00E26E82">
        <w:rPr>
          <w:rFonts w:asciiTheme="minorHAnsi" w:hAnsiTheme="minorHAnsi" w:cstheme="minorHAnsi"/>
          <w:b/>
          <w:bCs/>
          <w:color w:val="000000"/>
          <w:sz w:val="22"/>
          <w:szCs w:val="22"/>
          <w:lang w:val="de-DE"/>
        </w:rPr>
        <w:t xml:space="preserve">Am 10. Juni bringt die W.A. de Vigier Stiftung die vielversprechendsten </w:t>
      </w:r>
      <w:r w:rsidR="00181E99">
        <w:rPr>
          <w:rFonts w:asciiTheme="minorHAnsi" w:hAnsiTheme="minorHAnsi" w:cstheme="minorHAnsi"/>
          <w:b/>
          <w:bCs/>
          <w:color w:val="000000"/>
          <w:sz w:val="22"/>
          <w:szCs w:val="22"/>
          <w:lang w:val="de-DE"/>
        </w:rPr>
        <w:t>Startups</w:t>
      </w:r>
      <w:r w:rsidRPr="00E26E82">
        <w:rPr>
          <w:rFonts w:asciiTheme="minorHAnsi" w:hAnsiTheme="minorHAnsi" w:cstheme="minorHAnsi"/>
          <w:b/>
          <w:bCs/>
          <w:color w:val="000000"/>
          <w:sz w:val="22"/>
          <w:szCs w:val="22"/>
          <w:lang w:val="de-DE"/>
        </w:rPr>
        <w:t xml:space="preserve"> der Schweiz zu ihrer jährlichen Preisverleihung zusammen. Am Ende des Abends werden bis </w:t>
      </w:r>
      <w:proofErr w:type="gramStart"/>
      <w:r w:rsidRPr="00E26E82">
        <w:rPr>
          <w:rFonts w:asciiTheme="minorHAnsi" w:hAnsiTheme="minorHAnsi" w:cstheme="minorHAnsi"/>
          <w:b/>
          <w:bCs/>
          <w:color w:val="000000"/>
          <w:sz w:val="22"/>
          <w:szCs w:val="22"/>
          <w:lang w:val="de-DE"/>
        </w:rPr>
        <w:t xml:space="preserve">zu fünf </w:t>
      </w:r>
      <w:r w:rsidRPr="00E26E82">
        <w:rPr>
          <w:rFonts w:asciiTheme="minorHAnsi" w:hAnsiTheme="minorHAnsi" w:cstheme="minorHAnsi"/>
          <w:b/>
          <w:bCs/>
          <w:color w:val="000000"/>
          <w:sz w:val="22"/>
          <w:szCs w:val="22"/>
          <w:lang w:val="de-DE"/>
        </w:rPr>
        <w:t>herausragende</w:t>
      </w:r>
      <w:r w:rsidRPr="00E26E82">
        <w:rPr>
          <w:rFonts w:asciiTheme="minorHAnsi" w:hAnsiTheme="minorHAnsi" w:cstheme="minorHAnsi"/>
          <w:b/>
          <w:bCs/>
          <w:color w:val="000000"/>
          <w:sz w:val="22"/>
          <w:szCs w:val="22"/>
          <w:lang w:val="de-DE"/>
        </w:rPr>
        <w:t xml:space="preserve"> Gründer</w:t>
      </w:r>
      <w:proofErr w:type="gramEnd"/>
      <w:r w:rsidRPr="00E26E82">
        <w:rPr>
          <w:rFonts w:asciiTheme="minorHAnsi" w:hAnsiTheme="minorHAnsi" w:cstheme="minorHAnsi"/>
          <w:b/>
          <w:bCs/>
          <w:color w:val="000000"/>
          <w:sz w:val="22"/>
          <w:szCs w:val="22"/>
          <w:lang w:val="de-DE"/>
        </w:rPr>
        <w:t xml:space="preserve"> einen der begehrtesten Startup-Preise des Landes </w:t>
      </w:r>
      <w:r w:rsidRPr="00E26E82">
        <w:rPr>
          <w:rFonts w:asciiTheme="minorHAnsi" w:hAnsiTheme="minorHAnsi" w:cstheme="minorHAnsi"/>
          <w:b/>
          <w:bCs/>
          <w:color w:val="000000"/>
          <w:sz w:val="22"/>
          <w:szCs w:val="22"/>
          <w:lang w:val="de-DE"/>
        </w:rPr>
        <w:t>entgegennehmen</w:t>
      </w:r>
      <w:r w:rsidRPr="00E26E82">
        <w:rPr>
          <w:rFonts w:asciiTheme="minorHAnsi" w:hAnsiTheme="minorHAnsi" w:cstheme="minorHAnsi"/>
          <w:b/>
          <w:bCs/>
          <w:color w:val="000000"/>
          <w:sz w:val="22"/>
          <w:szCs w:val="22"/>
          <w:lang w:val="de-DE"/>
        </w:rPr>
        <w:t>— dotiert mit je CHF 120'000.</w:t>
      </w:r>
    </w:p>
    <w:p w14:paraId="1ABB0DF7" w14:textId="77777777"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p>
    <w:p w14:paraId="24CD3E0D" w14:textId="4C7B7DA5"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Zehn </w:t>
      </w:r>
      <w:proofErr w:type="spellStart"/>
      <w:r w:rsidRPr="00E26E82">
        <w:rPr>
          <w:rFonts w:asciiTheme="minorHAnsi" w:hAnsiTheme="minorHAnsi" w:cstheme="minorHAnsi"/>
          <w:color w:val="000000"/>
          <w:sz w:val="22"/>
          <w:szCs w:val="22"/>
          <w:lang w:val="de-DE"/>
        </w:rPr>
        <w:t>nominierte</w:t>
      </w:r>
      <w:proofErr w:type="spellEnd"/>
      <w:r w:rsidRPr="00E26E82">
        <w:rPr>
          <w:rFonts w:asciiTheme="minorHAnsi" w:hAnsiTheme="minorHAnsi" w:cstheme="minorHAnsi"/>
          <w:color w:val="000000"/>
          <w:sz w:val="22"/>
          <w:szCs w:val="22"/>
          <w:lang w:val="de-DE"/>
        </w:rPr>
        <w:t xml:space="preserve"> Startups </w:t>
      </w:r>
      <w:proofErr w:type="spellStart"/>
      <w:r w:rsidRPr="00E26E82">
        <w:rPr>
          <w:rFonts w:asciiTheme="minorHAnsi" w:hAnsiTheme="minorHAnsi" w:cstheme="minorHAnsi"/>
          <w:color w:val="000000"/>
          <w:sz w:val="22"/>
          <w:szCs w:val="22"/>
          <w:lang w:val="de-DE"/>
        </w:rPr>
        <w:t>treten</w:t>
      </w:r>
      <w:proofErr w:type="spellEnd"/>
      <w:r w:rsidRPr="00E26E82">
        <w:rPr>
          <w:rFonts w:asciiTheme="minorHAnsi" w:hAnsiTheme="minorHAnsi" w:cstheme="minorHAnsi"/>
          <w:color w:val="000000"/>
          <w:sz w:val="22"/>
          <w:szCs w:val="22"/>
          <w:lang w:val="de-DE"/>
        </w:rPr>
        <w:t xml:space="preserve"> </w:t>
      </w:r>
      <w:proofErr w:type="spellStart"/>
      <w:r w:rsidRPr="00E26E82">
        <w:rPr>
          <w:rFonts w:asciiTheme="minorHAnsi" w:hAnsiTheme="minorHAnsi" w:cstheme="minorHAnsi"/>
          <w:color w:val="000000"/>
          <w:sz w:val="22"/>
          <w:szCs w:val="22"/>
          <w:lang w:val="de-DE"/>
        </w:rPr>
        <w:t>vor</w:t>
      </w:r>
      <w:proofErr w:type="spellEnd"/>
      <w:r w:rsidRPr="00E26E82">
        <w:rPr>
          <w:rFonts w:asciiTheme="minorHAnsi" w:hAnsiTheme="minorHAnsi" w:cstheme="minorHAnsi"/>
          <w:color w:val="000000"/>
          <w:sz w:val="22"/>
          <w:szCs w:val="22"/>
          <w:lang w:val="de-DE"/>
        </w:rPr>
        <w:t xml:space="preserve"> </w:t>
      </w:r>
      <w:proofErr w:type="spellStart"/>
      <w:r w:rsidRPr="00E26E82">
        <w:rPr>
          <w:rFonts w:asciiTheme="minorHAnsi" w:hAnsiTheme="minorHAnsi" w:cstheme="minorHAnsi"/>
          <w:color w:val="000000"/>
          <w:sz w:val="22"/>
          <w:szCs w:val="22"/>
          <w:lang w:val="de-DE"/>
        </w:rPr>
        <w:t>geladenen</w:t>
      </w:r>
      <w:proofErr w:type="spellEnd"/>
      <w:r w:rsidRPr="00E26E82">
        <w:rPr>
          <w:rFonts w:asciiTheme="minorHAnsi" w:hAnsiTheme="minorHAnsi" w:cstheme="minorHAnsi"/>
          <w:color w:val="000000"/>
          <w:sz w:val="22"/>
          <w:szCs w:val="22"/>
          <w:lang w:val="de-DE"/>
        </w:rPr>
        <w:t xml:space="preserve"> Gästen auf und präsentieren ihr Unternehmen der Jury der Stiftung. Zu den Höhepunkten des Abends zählt eine Keynote von Dorian Selz, CEO von </w:t>
      </w:r>
      <w:proofErr w:type="spellStart"/>
      <w:r w:rsidRPr="00E26E82">
        <w:rPr>
          <w:rFonts w:asciiTheme="minorHAnsi" w:hAnsiTheme="minorHAnsi" w:cstheme="minorHAnsi"/>
          <w:color w:val="000000"/>
          <w:sz w:val="22"/>
          <w:szCs w:val="22"/>
          <w:lang w:val="de-DE"/>
        </w:rPr>
        <w:t>Squirro</w:t>
      </w:r>
      <w:proofErr w:type="spellEnd"/>
      <w:r w:rsidRPr="00E26E82">
        <w:rPr>
          <w:rFonts w:asciiTheme="minorHAnsi" w:hAnsiTheme="minorHAnsi" w:cstheme="minorHAnsi"/>
          <w:color w:val="000000"/>
          <w:sz w:val="22"/>
          <w:szCs w:val="22"/>
          <w:lang w:val="de-DE"/>
        </w:rPr>
        <w:t xml:space="preserve"> und W.A. de Vigier-Preisträger des Jahres 2010. Die Preisverleihung kann live auf</w:t>
      </w:r>
      <w:r w:rsidRPr="00E26E82">
        <w:rPr>
          <w:rFonts w:asciiTheme="minorHAnsi" w:hAnsiTheme="minorHAnsi" w:cstheme="minorHAnsi"/>
          <w:color w:val="000000"/>
          <w:sz w:val="22"/>
          <w:szCs w:val="22"/>
          <w:lang w:val="de-DE"/>
        </w:rPr>
        <w:t xml:space="preserve"> </w:t>
      </w:r>
      <w:hyperlink r:id="rId7" w:history="1">
        <w:r w:rsidRPr="00E26E82">
          <w:rPr>
            <w:rFonts w:asciiTheme="minorHAnsi" w:hAnsiTheme="minorHAnsi" w:cstheme="minorHAnsi"/>
            <w:color w:val="000000"/>
            <w:sz w:val="22"/>
            <w:szCs w:val="22"/>
            <w:lang w:val="de-DE"/>
          </w:rPr>
          <w:t>www.devigier.ch</w:t>
        </w:r>
      </w:hyperlink>
      <w:r w:rsidRPr="00E26E82">
        <w:rPr>
          <w:rFonts w:asciiTheme="minorHAnsi" w:hAnsiTheme="minorHAnsi" w:cstheme="minorHAnsi"/>
          <w:sz w:val="22"/>
          <w:szCs w:val="22"/>
          <w:lang w:val="de-DE"/>
        </w:rPr>
        <w:t xml:space="preserve"> </w:t>
      </w:r>
      <w:r w:rsidRPr="00E26E82">
        <w:rPr>
          <w:rFonts w:asciiTheme="minorHAnsi" w:hAnsiTheme="minorHAnsi" w:cstheme="minorHAnsi"/>
          <w:color w:val="000000"/>
          <w:sz w:val="22"/>
          <w:szCs w:val="22"/>
          <w:lang w:val="de-DE"/>
        </w:rPr>
        <w:t>mitverfolgt werden.</w:t>
      </w:r>
    </w:p>
    <w:p w14:paraId="257DD5E9" w14:textId="77777777"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p>
    <w:p w14:paraId="4C9D94B0" w14:textId="3A8D890A"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Aus über 200 eingereichten Projekten wählte die Jury im Februar</w:t>
      </w:r>
      <w:r w:rsidR="00D52719">
        <w:rPr>
          <w:rFonts w:asciiTheme="minorHAnsi" w:hAnsiTheme="minorHAnsi" w:cstheme="minorHAnsi"/>
          <w:color w:val="000000"/>
          <w:sz w:val="22"/>
          <w:szCs w:val="22"/>
          <w:lang w:val="de-DE"/>
        </w:rPr>
        <w:t xml:space="preserve"> zuerst die Top 50 und dann</w:t>
      </w:r>
      <w:r w:rsidRPr="00E26E82">
        <w:rPr>
          <w:rFonts w:asciiTheme="minorHAnsi" w:hAnsiTheme="minorHAnsi" w:cstheme="minorHAnsi"/>
          <w:color w:val="000000"/>
          <w:sz w:val="22"/>
          <w:szCs w:val="22"/>
          <w:lang w:val="de-DE"/>
        </w:rPr>
        <w:t xml:space="preserve"> die Top 15 aus. Diese durchliefen </w:t>
      </w:r>
      <w:proofErr w:type="spellStart"/>
      <w:r w:rsidRPr="00E26E82">
        <w:rPr>
          <w:rFonts w:asciiTheme="minorHAnsi" w:hAnsiTheme="minorHAnsi" w:cstheme="minorHAnsi"/>
          <w:color w:val="000000"/>
          <w:sz w:val="22"/>
          <w:szCs w:val="22"/>
          <w:lang w:val="de-DE"/>
        </w:rPr>
        <w:t>anschliessend</w:t>
      </w:r>
      <w:proofErr w:type="spellEnd"/>
      <w:r w:rsidRPr="00E26E82">
        <w:rPr>
          <w:rFonts w:asciiTheme="minorHAnsi" w:hAnsiTheme="minorHAnsi" w:cstheme="minorHAnsi"/>
          <w:color w:val="000000"/>
          <w:sz w:val="22"/>
          <w:szCs w:val="22"/>
          <w:lang w:val="de-DE"/>
        </w:rPr>
        <w:t xml:space="preserve"> ein vertieftes Gespräch mit dem Stiftungsrat. Die zehn Finalisten, die am 10. Juni auf der Bühne stehen, haben sich ihren Platz in jeder Runde verdient.</w:t>
      </w:r>
    </w:p>
    <w:p w14:paraId="4B43E332" w14:textId="77777777"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p>
    <w:p w14:paraId="545DFE73" w14:textId="7DBFAF83" w:rsidR="0049473C" w:rsidRPr="00E26E82" w:rsidRDefault="0049473C" w:rsidP="0049473C">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Den Weg bis hierhin zu schaffen, erforderte mehr als eine starke Idee — und das ist gewollt. Bei der W.A. de Vigier Stiftung wiegt die Persönlichkeit der Gründerinnen und Gründer </w:t>
      </w:r>
      <w:r w:rsidR="00E26E82">
        <w:rPr>
          <w:rFonts w:asciiTheme="minorHAnsi" w:hAnsiTheme="minorHAnsi" w:cstheme="minorHAnsi"/>
          <w:color w:val="000000"/>
          <w:sz w:val="22"/>
          <w:szCs w:val="22"/>
          <w:lang w:val="de-DE"/>
        </w:rPr>
        <w:t xml:space="preserve">bei der Bewertung </w:t>
      </w:r>
      <w:r w:rsidRPr="00E26E82">
        <w:rPr>
          <w:rFonts w:asciiTheme="minorHAnsi" w:hAnsiTheme="minorHAnsi" w:cstheme="minorHAnsi"/>
          <w:color w:val="000000"/>
          <w:sz w:val="22"/>
          <w:szCs w:val="22"/>
          <w:lang w:val="de-DE"/>
        </w:rPr>
        <w:t>ebenso schwer wie das Geschäftsmodell. «Es braucht oft mehr als einen einzigen Blick, um jene zu erkennen, die die richtige Balance zwischen einem überzeugenden Projekt und einem ebenso starken unternehmerischen Mindset mitbringen», sagt Céline Bedu, COO der W.A. de Vigier Stiftung.</w:t>
      </w:r>
    </w:p>
    <w:p w14:paraId="1EE27794" w14:textId="77777777" w:rsidR="0049473C" w:rsidRPr="00E26E82" w:rsidRDefault="0049473C">
      <w:pPr>
        <w:spacing w:after="160" w:line="278" w:lineRule="auto"/>
        <w:rPr>
          <w:rFonts w:asciiTheme="minorHAnsi" w:hAnsiTheme="minorHAnsi" w:cstheme="minorHAnsi"/>
          <w:color w:val="000000"/>
          <w:sz w:val="22"/>
          <w:szCs w:val="22"/>
          <w:lang w:val="de-DE" w:eastAsia="en-US"/>
        </w:rPr>
      </w:pPr>
      <w:r w:rsidRPr="00E26E82">
        <w:rPr>
          <w:rFonts w:asciiTheme="minorHAnsi" w:hAnsiTheme="minorHAnsi" w:cstheme="minorHAnsi"/>
          <w:color w:val="000000"/>
          <w:sz w:val="22"/>
          <w:szCs w:val="22"/>
          <w:lang w:val="de-DE"/>
        </w:rPr>
        <w:br w:type="page"/>
      </w:r>
    </w:p>
    <w:p w14:paraId="14115F75" w14:textId="77777777" w:rsidR="00191BC4" w:rsidRPr="00E26E82" w:rsidRDefault="00191BC4" w:rsidP="00191BC4">
      <w:pPr>
        <w:widowControl w:val="0"/>
        <w:autoSpaceDE w:val="0"/>
        <w:autoSpaceDN w:val="0"/>
        <w:adjustRightInd w:val="0"/>
        <w:rPr>
          <w:rFonts w:asciiTheme="minorHAnsi" w:hAnsiTheme="minorHAnsi" w:cstheme="minorHAnsi"/>
          <w:b/>
          <w:color w:val="000000" w:themeColor="text1"/>
          <w:sz w:val="22"/>
          <w:szCs w:val="22"/>
          <w:lang w:val="de-DE"/>
        </w:rPr>
      </w:pPr>
      <w:r w:rsidRPr="00E26E82">
        <w:rPr>
          <w:rFonts w:asciiTheme="minorHAnsi" w:hAnsiTheme="minorHAnsi" w:cstheme="minorHAnsi"/>
          <w:b/>
          <w:color w:val="000000" w:themeColor="text1"/>
          <w:sz w:val="22"/>
          <w:szCs w:val="22"/>
          <w:lang w:val="de-DE"/>
        </w:rPr>
        <w:lastRenderedPageBreak/>
        <w:t>Dies sind die Top 10 CEOs und deren Startups (in alphabetischer Reihenfolge)</w:t>
      </w:r>
    </w:p>
    <w:p w14:paraId="7987C412" w14:textId="77777777" w:rsidR="00191BC4" w:rsidRPr="00E26E82" w:rsidRDefault="00191BC4" w:rsidP="00191BC4">
      <w:pPr>
        <w:widowControl w:val="0"/>
        <w:autoSpaceDE w:val="0"/>
        <w:autoSpaceDN w:val="0"/>
        <w:adjustRightInd w:val="0"/>
        <w:rPr>
          <w:rFonts w:asciiTheme="minorHAnsi" w:eastAsiaTheme="minorEastAsia" w:hAnsiTheme="minorHAnsi" w:cstheme="minorHAnsi"/>
          <w:bCs/>
          <w:color w:val="000000" w:themeColor="text1"/>
          <w:sz w:val="22"/>
          <w:szCs w:val="22"/>
          <w:lang w:val="de-DE"/>
        </w:rPr>
      </w:pPr>
    </w:p>
    <w:p w14:paraId="0F1B8A52" w14:textId="77777777" w:rsidR="00E26E82" w:rsidRPr="00E26E82" w:rsidRDefault="00E26E82" w:rsidP="00E26E82">
      <w:pPr>
        <w:rPr>
          <w:rFonts w:asciiTheme="minorHAnsi" w:hAnsiTheme="minorHAnsi" w:cstheme="minorHAnsi"/>
          <w:sz w:val="22"/>
          <w:szCs w:val="22"/>
          <w:lang w:val="de-DE"/>
        </w:rPr>
      </w:pPr>
      <w:r w:rsidRPr="00E26E82">
        <w:rPr>
          <w:rFonts w:asciiTheme="minorHAnsi" w:hAnsiTheme="minorHAnsi" w:cstheme="minorHAnsi"/>
          <w:sz w:val="22"/>
          <w:szCs w:val="22"/>
          <w:lang w:val="de-DE"/>
        </w:rPr>
        <w:t>Arka Banerjee / 80SBio AG / Basel (BS)</w:t>
      </w:r>
    </w:p>
    <w:p w14:paraId="2E962D94" w14:textId="77777777" w:rsidR="00E26E82" w:rsidRPr="00E26E82" w:rsidRDefault="00E26E82" w:rsidP="00E26E82">
      <w:pPr>
        <w:rPr>
          <w:rFonts w:asciiTheme="minorHAnsi" w:hAnsiTheme="minorHAnsi" w:cstheme="minorHAnsi"/>
          <w:b/>
          <w:bCs/>
          <w:sz w:val="22"/>
          <w:szCs w:val="22"/>
          <w:lang w:val="de-DE"/>
        </w:rPr>
      </w:pPr>
      <w:r w:rsidRPr="00E26E82">
        <w:rPr>
          <w:rFonts w:asciiTheme="minorHAnsi" w:hAnsiTheme="minorHAnsi" w:cstheme="minorHAnsi"/>
          <w:b/>
          <w:bCs/>
          <w:sz w:val="22"/>
          <w:szCs w:val="22"/>
          <w:lang w:val="de-DE"/>
        </w:rPr>
        <w:t>Point-</w:t>
      </w:r>
      <w:proofErr w:type="spellStart"/>
      <w:r w:rsidRPr="00E26E82">
        <w:rPr>
          <w:rFonts w:asciiTheme="minorHAnsi" w:hAnsiTheme="minorHAnsi" w:cstheme="minorHAnsi"/>
          <w:b/>
          <w:bCs/>
          <w:sz w:val="22"/>
          <w:szCs w:val="22"/>
          <w:lang w:val="de-DE"/>
        </w:rPr>
        <w:t>of</w:t>
      </w:r>
      <w:proofErr w:type="spellEnd"/>
      <w:r w:rsidRPr="00E26E82">
        <w:rPr>
          <w:rFonts w:asciiTheme="minorHAnsi" w:hAnsiTheme="minorHAnsi" w:cstheme="minorHAnsi"/>
          <w:b/>
          <w:bCs/>
          <w:sz w:val="22"/>
          <w:szCs w:val="22"/>
          <w:lang w:val="de-DE"/>
        </w:rPr>
        <w:t>-Care-Molekulardiagnostik für Infektionskrankheiten</w:t>
      </w:r>
    </w:p>
    <w:p w14:paraId="525F4CAC" w14:textId="77777777" w:rsidR="00E26E82" w:rsidRPr="00E26E82" w:rsidRDefault="00E26E82" w:rsidP="00E26E82">
      <w:pPr>
        <w:rPr>
          <w:rFonts w:asciiTheme="minorHAnsi" w:hAnsiTheme="minorHAnsi" w:cstheme="minorHAnsi"/>
          <w:sz w:val="22"/>
          <w:szCs w:val="22"/>
          <w:lang w:val="de-DE"/>
        </w:rPr>
      </w:pPr>
      <w:r w:rsidRPr="00E26E82">
        <w:rPr>
          <w:rFonts w:asciiTheme="minorHAnsi" w:hAnsiTheme="minorHAnsi" w:cstheme="minorHAnsi"/>
          <w:color w:val="000000"/>
          <w:sz w:val="22"/>
          <w:szCs w:val="22"/>
          <w:lang w:val="de-DE"/>
        </w:rPr>
        <w:t xml:space="preserve">In vielen Teilen der Welt müssen </w:t>
      </w:r>
      <w:proofErr w:type="spellStart"/>
      <w:proofErr w:type="gramStart"/>
      <w:r w:rsidRPr="00E26E82">
        <w:rPr>
          <w:rFonts w:asciiTheme="minorHAnsi" w:hAnsiTheme="minorHAnsi" w:cstheme="minorHAnsi"/>
          <w:color w:val="000000"/>
          <w:sz w:val="22"/>
          <w:szCs w:val="22"/>
          <w:lang w:val="de-DE"/>
        </w:rPr>
        <w:t>Ärzt:innen</w:t>
      </w:r>
      <w:proofErr w:type="spellEnd"/>
      <w:proofErr w:type="gramEnd"/>
      <w:r w:rsidRPr="00E26E82">
        <w:rPr>
          <w:rFonts w:asciiTheme="minorHAnsi" w:hAnsiTheme="minorHAnsi" w:cstheme="minorHAnsi"/>
          <w:color w:val="000000"/>
          <w:sz w:val="22"/>
          <w:szCs w:val="22"/>
          <w:lang w:val="de-DE"/>
        </w:rPr>
        <w:t xml:space="preserve"> Infektionskrankheiten behandeln, ohne die genaue Ursache zu kennen. 80SBio entwickelt QuantR, ein Point-</w:t>
      </w:r>
      <w:proofErr w:type="spellStart"/>
      <w:r w:rsidRPr="00E26E82">
        <w:rPr>
          <w:rFonts w:asciiTheme="minorHAnsi" w:hAnsiTheme="minorHAnsi" w:cstheme="minorHAnsi"/>
          <w:color w:val="000000"/>
          <w:sz w:val="22"/>
          <w:szCs w:val="22"/>
          <w:lang w:val="de-DE"/>
        </w:rPr>
        <w:t>of</w:t>
      </w:r>
      <w:proofErr w:type="spellEnd"/>
      <w:r w:rsidRPr="00E26E82">
        <w:rPr>
          <w:rFonts w:asciiTheme="minorHAnsi" w:hAnsiTheme="minorHAnsi" w:cstheme="minorHAnsi"/>
          <w:color w:val="000000"/>
          <w:sz w:val="22"/>
          <w:szCs w:val="22"/>
          <w:lang w:val="de-DE"/>
        </w:rPr>
        <w:t xml:space="preserve">-Care-System, das molekulare Tests in Laborqualität direkt zum Patienten bringt. Mithilfe der </w:t>
      </w:r>
      <w:proofErr w:type="spellStart"/>
      <w:r w:rsidRPr="00E26E82">
        <w:rPr>
          <w:rFonts w:asciiTheme="minorHAnsi" w:hAnsiTheme="minorHAnsi" w:cstheme="minorHAnsi"/>
          <w:color w:val="000000"/>
          <w:sz w:val="22"/>
          <w:szCs w:val="22"/>
          <w:lang w:val="de-DE"/>
        </w:rPr>
        <w:t>UniqRT</w:t>
      </w:r>
      <w:proofErr w:type="spellEnd"/>
      <w:r w:rsidRPr="00E26E82">
        <w:rPr>
          <w:rFonts w:asciiTheme="minorHAnsi" w:hAnsiTheme="minorHAnsi" w:cstheme="minorHAnsi"/>
          <w:color w:val="000000"/>
          <w:sz w:val="22"/>
          <w:szCs w:val="22"/>
          <w:lang w:val="de-DE"/>
        </w:rPr>
        <w:t>-Chemie führt die Technologie eine parallele RT-qPCR direkt aus Rohproben durch – ohne aufwändige Probenvorbereitung. Eine kostengünstige Kartusche und ein kompaktes Lesegerät ermöglichen es, eine Fingerstichprobe einzulegen und gleichzeitig auf mehrere Infektionskrankheiten zu testen – für schnelle Diagnostik und die richtige Behandlung, auch in ressourcenarmen Umgebungen.</w:t>
      </w:r>
    </w:p>
    <w:p w14:paraId="2D0D4E62" w14:textId="77777777" w:rsidR="00E26E82" w:rsidRPr="00E26E82" w:rsidRDefault="00E26E82" w:rsidP="00E26E82">
      <w:pPr>
        <w:rPr>
          <w:rFonts w:asciiTheme="minorHAnsi" w:hAnsiTheme="minorHAnsi" w:cstheme="minorHAnsi"/>
          <w:sz w:val="22"/>
          <w:szCs w:val="22"/>
          <w:lang w:val="de-DE"/>
        </w:rPr>
      </w:pPr>
    </w:p>
    <w:p w14:paraId="7284CEA7" w14:textId="77777777" w:rsidR="00E26E82" w:rsidRPr="00E26E82" w:rsidRDefault="00E26E82" w:rsidP="00E26E82">
      <w:pPr>
        <w:rPr>
          <w:rFonts w:asciiTheme="minorHAnsi" w:hAnsiTheme="minorHAnsi" w:cstheme="minorHAnsi"/>
          <w:sz w:val="22"/>
          <w:szCs w:val="22"/>
          <w:lang w:val="de-DE"/>
        </w:rPr>
      </w:pPr>
      <w:r w:rsidRPr="00E26E82">
        <w:rPr>
          <w:rFonts w:asciiTheme="minorHAnsi" w:hAnsiTheme="minorHAnsi" w:cstheme="minorHAnsi"/>
          <w:sz w:val="22"/>
          <w:szCs w:val="22"/>
          <w:lang w:val="de-DE"/>
        </w:rPr>
        <w:t xml:space="preserve">Gwenael Hannema / </w:t>
      </w:r>
      <w:proofErr w:type="spellStart"/>
      <w:r w:rsidRPr="00E26E82">
        <w:rPr>
          <w:rFonts w:asciiTheme="minorHAnsi" w:hAnsiTheme="minorHAnsi" w:cstheme="minorHAnsi"/>
          <w:sz w:val="22"/>
          <w:szCs w:val="22"/>
          <w:lang w:val="de-DE"/>
        </w:rPr>
        <w:t>OrthoSens</w:t>
      </w:r>
      <w:proofErr w:type="spellEnd"/>
      <w:r w:rsidRPr="00E26E82">
        <w:rPr>
          <w:rFonts w:asciiTheme="minorHAnsi" w:hAnsiTheme="minorHAnsi" w:cstheme="minorHAnsi"/>
          <w:sz w:val="22"/>
          <w:szCs w:val="22"/>
          <w:lang w:val="de-DE"/>
        </w:rPr>
        <w:t xml:space="preserve"> SA / Biel (BE)</w:t>
      </w:r>
    </w:p>
    <w:p w14:paraId="6BF8E0B0" w14:textId="77777777" w:rsidR="00E26E82" w:rsidRPr="00E26E82" w:rsidRDefault="00E26E82" w:rsidP="00E26E82">
      <w:pPr>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 xml:space="preserve">Sensoren zur Überwachung des Heilungsverlaufs nach orthopädischen Eingriffen </w:t>
      </w:r>
    </w:p>
    <w:p w14:paraId="45D0C217" w14:textId="77777777" w:rsidR="00E26E82" w:rsidRPr="00E26E82" w:rsidRDefault="00E26E82" w:rsidP="00E26E82">
      <w:pPr>
        <w:rPr>
          <w:rFonts w:asciiTheme="minorHAnsi" w:hAnsiTheme="minorHAnsi" w:cstheme="minorHAnsi"/>
          <w:sz w:val="22"/>
          <w:szCs w:val="22"/>
          <w:lang w:val="de-DE"/>
        </w:rPr>
      </w:pPr>
      <w:r w:rsidRPr="00E26E82">
        <w:rPr>
          <w:rFonts w:asciiTheme="minorHAnsi" w:hAnsiTheme="minorHAnsi" w:cstheme="minorHAnsi"/>
          <w:color w:val="000000"/>
          <w:sz w:val="22"/>
          <w:szCs w:val="22"/>
          <w:lang w:val="de-DE"/>
        </w:rPr>
        <w:t xml:space="preserve">Der Genesungsprozess nach orthopädischen Operationen wird häufig nur durch gelegentliche Röntgenaufnahmen und Patientenberichte begleitet – Komplikationen werden so oft zu spät erkannt. </w:t>
      </w:r>
      <w:proofErr w:type="spellStart"/>
      <w:r w:rsidRPr="00E26E82">
        <w:rPr>
          <w:rFonts w:asciiTheme="minorHAnsi" w:hAnsiTheme="minorHAnsi" w:cstheme="minorHAnsi"/>
          <w:color w:val="000000"/>
          <w:sz w:val="22"/>
          <w:szCs w:val="22"/>
          <w:lang w:val="de-DE"/>
        </w:rPr>
        <w:t>OrthoSens</w:t>
      </w:r>
      <w:proofErr w:type="spellEnd"/>
      <w:r w:rsidRPr="00E26E82">
        <w:rPr>
          <w:rFonts w:asciiTheme="minorHAnsi" w:hAnsiTheme="minorHAnsi" w:cstheme="minorHAnsi"/>
          <w:color w:val="000000"/>
          <w:sz w:val="22"/>
          <w:szCs w:val="22"/>
          <w:lang w:val="de-DE"/>
        </w:rPr>
        <w:t xml:space="preserve"> verwandelt Standard-Implantate in vernetzte Geräte, die die Heilung in Echtzeit messen. Ein winziger, batterieloser Sensor im Implantat wird durch ein externes Wearable mit Strom versorgt und überträgt Daten zu Belastung, Mikrobewegungsrisiko und Knochenintegration direkt an die </w:t>
      </w:r>
      <w:proofErr w:type="spellStart"/>
      <w:r w:rsidRPr="00E26E82">
        <w:rPr>
          <w:rFonts w:asciiTheme="minorHAnsi" w:hAnsiTheme="minorHAnsi" w:cstheme="minorHAnsi"/>
          <w:color w:val="000000"/>
          <w:sz w:val="22"/>
          <w:szCs w:val="22"/>
          <w:lang w:val="de-DE"/>
        </w:rPr>
        <w:t>SensApp</w:t>
      </w:r>
      <w:proofErr w:type="spellEnd"/>
      <w:r w:rsidRPr="00E26E82">
        <w:rPr>
          <w:rFonts w:asciiTheme="minorHAnsi" w:hAnsiTheme="minorHAnsi" w:cstheme="minorHAnsi"/>
          <w:color w:val="000000"/>
          <w:sz w:val="22"/>
          <w:szCs w:val="22"/>
          <w:lang w:val="de-DE"/>
        </w:rPr>
        <w:t xml:space="preserve">. </w:t>
      </w:r>
      <w:proofErr w:type="spellStart"/>
      <w:proofErr w:type="gramStart"/>
      <w:r w:rsidRPr="00E26E82">
        <w:rPr>
          <w:rFonts w:asciiTheme="minorHAnsi" w:hAnsiTheme="minorHAnsi" w:cstheme="minorHAnsi"/>
          <w:color w:val="000000"/>
          <w:sz w:val="22"/>
          <w:szCs w:val="22"/>
          <w:lang w:val="de-DE"/>
        </w:rPr>
        <w:t>Chirurg:innen</w:t>
      </w:r>
      <w:proofErr w:type="spellEnd"/>
      <w:proofErr w:type="gramEnd"/>
      <w:r w:rsidRPr="00E26E82">
        <w:rPr>
          <w:rFonts w:asciiTheme="minorHAnsi" w:hAnsiTheme="minorHAnsi" w:cstheme="minorHAnsi"/>
          <w:color w:val="000000"/>
          <w:sz w:val="22"/>
          <w:szCs w:val="22"/>
          <w:lang w:val="de-DE"/>
        </w:rPr>
        <w:t xml:space="preserve"> und </w:t>
      </w:r>
      <w:proofErr w:type="spellStart"/>
      <w:proofErr w:type="gramStart"/>
      <w:r w:rsidRPr="00E26E82">
        <w:rPr>
          <w:rFonts w:asciiTheme="minorHAnsi" w:hAnsiTheme="minorHAnsi" w:cstheme="minorHAnsi"/>
          <w:color w:val="000000"/>
          <w:sz w:val="22"/>
          <w:szCs w:val="22"/>
          <w:lang w:val="de-DE"/>
        </w:rPr>
        <w:t>Physiotherapeut:innen</w:t>
      </w:r>
      <w:proofErr w:type="spellEnd"/>
      <w:proofErr w:type="gramEnd"/>
      <w:r w:rsidRPr="00E26E82">
        <w:rPr>
          <w:rFonts w:asciiTheme="minorHAnsi" w:hAnsiTheme="minorHAnsi" w:cstheme="minorHAnsi"/>
          <w:color w:val="000000"/>
          <w:sz w:val="22"/>
          <w:szCs w:val="22"/>
          <w:lang w:val="de-DE"/>
        </w:rPr>
        <w:t xml:space="preserve"> können den Heilungsverlauf über übersichtliche Dashboards verfolgen, während </w:t>
      </w:r>
      <w:proofErr w:type="spellStart"/>
      <w:proofErr w:type="gramStart"/>
      <w:r w:rsidRPr="00E26E82">
        <w:rPr>
          <w:rFonts w:asciiTheme="minorHAnsi" w:hAnsiTheme="minorHAnsi" w:cstheme="minorHAnsi"/>
          <w:color w:val="000000"/>
          <w:sz w:val="22"/>
          <w:szCs w:val="22"/>
          <w:lang w:val="de-DE"/>
        </w:rPr>
        <w:t>Patient:innen</w:t>
      </w:r>
      <w:proofErr w:type="spellEnd"/>
      <w:proofErr w:type="gramEnd"/>
      <w:r w:rsidRPr="00E26E82">
        <w:rPr>
          <w:rFonts w:asciiTheme="minorHAnsi" w:hAnsiTheme="minorHAnsi" w:cstheme="minorHAnsi"/>
          <w:color w:val="000000"/>
          <w:sz w:val="22"/>
          <w:szCs w:val="22"/>
          <w:lang w:val="de-DE"/>
        </w:rPr>
        <w:t xml:space="preserve"> ihren Fortschritt bequem von zu Hause aus einsehen – für frühzeitigere Interventionen und weniger unnötige Bildgebung, Arztbesuche und Folgeoperationen.</w:t>
      </w:r>
    </w:p>
    <w:p w14:paraId="74B2B376"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p>
    <w:p w14:paraId="069B9E2C"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Samuel Heiniger / Iron Energy AG / Zürich (ZH)</w:t>
      </w:r>
    </w:p>
    <w:p w14:paraId="1B0FAB78"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b/>
          <w:bCs/>
          <w:color w:val="000000"/>
          <w:sz w:val="22"/>
          <w:szCs w:val="22"/>
          <w:lang w:val="de-DE"/>
        </w:rPr>
        <w:t>Langzeitspeicherung von Energie mithilfe von Eisenoxid</w:t>
      </w:r>
    </w:p>
    <w:p w14:paraId="6A33E944" w14:textId="5BA4CEF2"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Erneuerbare Energie aus Solar- und Windkraft wird produziert, wenn die Sonne scheint oder der Wind weht – nicht unbedingt dann, wenn Strom gebraucht wird. Das schafft einen wachsenden Bedarf an skalierbaren, kostengünstigen Energiespeichern, die Angebot und Nachfrage über längere Zeiträume – auch saisonübergreifend – ausgleichen können. Iron Energy entwickelt eine Speichertechnologie, die überschüssigen Strom in Wasserstoff umwandelt und diesen in Eisen speichert. Der Wasserstoff reduziert Eisenoxid zu metallischem Eisen, wodurch Energie sicher und kostengünstig gespeichert werden kann. Wird Strom benötigt, wird das Eisen mit Wasserdampf oxidiert, wobei Wasserstoff entsteht, der sich wieder in Strom umwandeln lässt.</w:t>
      </w:r>
    </w:p>
    <w:p w14:paraId="19915BDD"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p>
    <w:p w14:paraId="6488D2AE"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proofErr w:type="spellStart"/>
      <w:r w:rsidRPr="00E26E82">
        <w:rPr>
          <w:rFonts w:asciiTheme="minorHAnsi" w:hAnsiTheme="minorHAnsi" w:cstheme="minorHAnsi"/>
          <w:color w:val="000000"/>
          <w:sz w:val="22"/>
          <w:szCs w:val="22"/>
          <w:lang w:val="de-DE"/>
        </w:rPr>
        <w:t>Seoho</w:t>
      </w:r>
      <w:proofErr w:type="spellEnd"/>
      <w:r w:rsidRPr="00E26E82">
        <w:rPr>
          <w:rFonts w:asciiTheme="minorHAnsi" w:hAnsiTheme="minorHAnsi" w:cstheme="minorHAnsi"/>
          <w:color w:val="000000"/>
          <w:sz w:val="22"/>
          <w:szCs w:val="22"/>
          <w:lang w:val="de-DE"/>
        </w:rPr>
        <w:t xml:space="preserve"> Jung / Chiral Nano AG / Dübendorf (ZH) </w:t>
      </w:r>
      <w:r w:rsidRPr="00E26E82">
        <w:rPr>
          <w:rFonts w:asciiTheme="minorHAnsi" w:hAnsiTheme="minorHAnsi" w:cstheme="minorHAnsi"/>
          <w:color w:val="000000"/>
          <w:sz w:val="22"/>
          <w:szCs w:val="22"/>
          <w:lang w:val="de-DE"/>
        </w:rPr>
        <w:br/>
      </w:r>
      <w:r w:rsidRPr="00E26E82">
        <w:rPr>
          <w:rFonts w:asciiTheme="minorHAnsi" w:hAnsiTheme="minorHAnsi" w:cstheme="minorHAnsi"/>
          <w:b/>
          <w:bCs/>
          <w:color w:val="000000"/>
          <w:sz w:val="22"/>
          <w:szCs w:val="22"/>
          <w:lang w:val="de-DE"/>
        </w:rPr>
        <w:t>Halbleiter der nächsten Generation auf Basis von Nanomaterialien</w:t>
      </w:r>
    </w:p>
    <w:p w14:paraId="70075C83"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Die Halbleiterindustrie </w:t>
      </w:r>
      <w:proofErr w:type="spellStart"/>
      <w:r w:rsidRPr="00E26E82">
        <w:rPr>
          <w:rFonts w:asciiTheme="minorHAnsi" w:hAnsiTheme="minorHAnsi" w:cstheme="minorHAnsi"/>
          <w:color w:val="000000"/>
          <w:sz w:val="22"/>
          <w:szCs w:val="22"/>
          <w:lang w:val="de-DE"/>
        </w:rPr>
        <w:t>stösst</w:t>
      </w:r>
      <w:proofErr w:type="spellEnd"/>
      <w:r w:rsidRPr="00E26E82">
        <w:rPr>
          <w:rFonts w:asciiTheme="minorHAnsi" w:hAnsiTheme="minorHAnsi" w:cstheme="minorHAnsi"/>
          <w:color w:val="000000"/>
          <w:sz w:val="22"/>
          <w:szCs w:val="22"/>
          <w:lang w:val="de-DE"/>
        </w:rPr>
        <w:t xml:space="preserve"> an die physikalischen Grenzen des Siliziums – </w:t>
      </w:r>
      <w:proofErr w:type="gramStart"/>
      <w:r w:rsidRPr="00E26E82">
        <w:rPr>
          <w:rFonts w:asciiTheme="minorHAnsi" w:hAnsiTheme="minorHAnsi" w:cstheme="minorHAnsi"/>
          <w:color w:val="000000"/>
          <w:sz w:val="22"/>
          <w:szCs w:val="22"/>
          <w:lang w:val="de-DE"/>
        </w:rPr>
        <w:t>während der Bedarf</w:t>
      </w:r>
      <w:proofErr w:type="gramEnd"/>
      <w:r w:rsidRPr="00E26E82">
        <w:rPr>
          <w:rFonts w:asciiTheme="minorHAnsi" w:hAnsiTheme="minorHAnsi" w:cstheme="minorHAnsi"/>
          <w:color w:val="000000"/>
          <w:sz w:val="22"/>
          <w:szCs w:val="22"/>
          <w:lang w:val="de-DE"/>
        </w:rPr>
        <w:t xml:space="preserve"> an Rechenleistung weiter steigt. Nanomaterialien wie Kohlenstoffnanoröhren versprechen schnellere und energieeffizientere Transistoren, doch bestehende Herstellungsverfahren lassen sich nicht auf industrielle Fertigung skalieren. Chiral Nano entwickelt Anlagen, die Nanomaterialien mit hoher Präzision in Chips integrieren. Das patentierte Verfahren züchtet hochwertige Nanomaterialien, selektiert die besten Strukturen mithilfe automatisierter Mikroskopie und KI und überträgt sie robotergestützt auf Wafer. So können Halbleiterhersteller Post-Silizium-Chips für Zukunftstechnologien wie KI und Quantencomputing fertigen.</w:t>
      </w:r>
    </w:p>
    <w:p w14:paraId="6574FEBB"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p>
    <w:p w14:paraId="00082544" w14:textId="77777777" w:rsidR="00E26E82" w:rsidRPr="00E26E82" w:rsidRDefault="00E26E82" w:rsidP="00E26E82">
      <w:pPr>
        <w:pStyle w:val="NormalWeb"/>
        <w:spacing w:before="0" w:beforeAutospacing="0" w:after="0" w:afterAutospacing="0"/>
        <w:rPr>
          <w:rFonts w:asciiTheme="minorHAnsi" w:hAnsiTheme="minorHAnsi" w:cstheme="minorHAnsi"/>
          <w:sz w:val="22"/>
          <w:szCs w:val="22"/>
          <w:lang w:val="de-DE"/>
        </w:rPr>
      </w:pPr>
    </w:p>
    <w:p w14:paraId="538A45BE" w14:textId="77777777" w:rsidR="00E26E82" w:rsidRPr="00E26E82" w:rsidRDefault="00E26E82" w:rsidP="00E26E82">
      <w:pPr>
        <w:pStyle w:val="NormalWeb"/>
        <w:spacing w:before="0" w:beforeAutospacing="0" w:after="0" w:afterAutospacing="0"/>
        <w:rPr>
          <w:rFonts w:asciiTheme="minorHAnsi" w:hAnsiTheme="minorHAnsi" w:cstheme="minorHAnsi"/>
          <w:sz w:val="22"/>
          <w:szCs w:val="22"/>
          <w:lang w:val="de-DE"/>
        </w:rPr>
      </w:pPr>
      <w:r w:rsidRPr="00E26E82">
        <w:rPr>
          <w:rFonts w:asciiTheme="minorHAnsi" w:hAnsiTheme="minorHAnsi" w:cstheme="minorHAnsi"/>
          <w:sz w:val="22"/>
          <w:szCs w:val="22"/>
          <w:lang w:val="de-DE"/>
        </w:rPr>
        <w:lastRenderedPageBreak/>
        <w:t xml:space="preserve">Sébastien Le </w:t>
      </w:r>
      <w:proofErr w:type="spellStart"/>
      <w:r w:rsidRPr="00E26E82">
        <w:rPr>
          <w:rFonts w:asciiTheme="minorHAnsi" w:hAnsiTheme="minorHAnsi" w:cstheme="minorHAnsi"/>
          <w:sz w:val="22"/>
          <w:szCs w:val="22"/>
          <w:lang w:val="de-DE"/>
        </w:rPr>
        <w:t>Fouest</w:t>
      </w:r>
      <w:proofErr w:type="spellEnd"/>
      <w:r w:rsidRPr="00E26E82">
        <w:rPr>
          <w:rFonts w:asciiTheme="minorHAnsi" w:hAnsiTheme="minorHAnsi" w:cstheme="minorHAnsi"/>
          <w:sz w:val="22"/>
          <w:szCs w:val="22"/>
          <w:lang w:val="de-DE"/>
        </w:rPr>
        <w:t xml:space="preserve"> / Windworks SA / Lausanne (VD)</w:t>
      </w:r>
    </w:p>
    <w:p w14:paraId="7AA27206" w14:textId="77777777" w:rsidR="00E26E82" w:rsidRPr="00E26E82" w:rsidRDefault="00E26E82" w:rsidP="00E26E82">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Intelligente Vertikalachsen-Windturbinen für die dezentrale Stromproduktion</w:t>
      </w:r>
    </w:p>
    <w:p w14:paraId="44FD3C27"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Windenergie wird in vielen Regionen noch zu wenig genutzt: </w:t>
      </w:r>
      <w:proofErr w:type="spellStart"/>
      <w:r w:rsidRPr="00E26E82">
        <w:rPr>
          <w:rFonts w:asciiTheme="minorHAnsi" w:hAnsiTheme="minorHAnsi" w:cstheme="minorHAnsi"/>
          <w:color w:val="000000"/>
          <w:sz w:val="22"/>
          <w:szCs w:val="22"/>
          <w:lang w:val="de-DE"/>
        </w:rPr>
        <w:t>Grosse</w:t>
      </w:r>
      <w:proofErr w:type="spellEnd"/>
      <w:r w:rsidRPr="00E26E82">
        <w:rPr>
          <w:rFonts w:asciiTheme="minorHAnsi" w:hAnsiTheme="minorHAnsi" w:cstheme="minorHAnsi"/>
          <w:color w:val="000000"/>
          <w:sz w:val="22"/>
          <w:szCs w:val="22"/>
          <w:lang w:val="de-DE"/>
        </w:rPr>
        <w:t xml:space="preserve"> Windparks scheitern oft an langen Genehmigungsverfahren, hohen Infrastrukturkosten und lokalem Widerstand. Gleichzeitig kämpfen Betriebe, Gemeinden und Kleinunternehmen mit Solaranlagen im Winter und nachts mit Stromengpässen. Windworks entwickelt kompakte Vertikalachsen-Turbinen für die dezentrale Stromproduktion. Die </w:t>
      </w:r>
      <w:proofErr w:type="spellStart"/>
      <w:r w:rsidRPr="00E26E82">
        <w:rPr>
          <w:rFonts w:asciiTheme="minorHAnsi" w:hAnsiTheme="minorHAnsi" w:cstheme="minorHAnsi"/>
          <w:color w:val="000000"/>
          <w:sz w:val="22"/>
          <w:szCs w:val="22"/>
          <w:lang w:val="de-DE"/>
        </w:rPr>
        <w:t>grosse</w:t>
      </w:r>
      <w:proofErr w:type="spellEnd"/>
      <w:r w:rsidRPr="00E26E82">
        <w:rPr>
          <w:rFonts w:asciiTheme="minorHAnsi" w:hAnsiTheme="minorHAnsi" w:cstheme="minorHAnsi"/>
          <w:color w:val="000000"/>
          <w:sz w:val="22"/>
          <w:szCs w:val="22"/>
          <w:lang w:val="de-DE"/>
        </w:rPr>
        <w:t xml:space="preserve"> Innovation ist die Echtzeit-Blattwinkelverstellung: Jedes Blatt passt seine Ausrichtung mithilfe von Sensoren und einem proprietären Algorithmus an wechselnde Windbedingungen an – für höhere Erträge und längere Lebensdauer. Leise Anlagen unter 30 Metern lassen sich in der Regel innerhalb eines Jahres bewilligen.</w:t>
      </w:r>
    </w:p>
    <w:p w14:paraId="41F97444" w14:textId="77777777" w:rsidR="00E26E82" w:rsidRPr="00E26E82" w:rsidRDefault="00E26E82" w:rsidP="00E26E82">
      <w:pPr>
        <w:pStyle w:val="NormalWeb"/>
        <w:spacing w:before="0" w:beforeAutospacing="0" w:after="0" w:afterAutospacing="0"/>
        <w:rPr>
          <w:rFonts w:asciiTheme="minorHAnsi" w:hAnsiTheme="minorHAnsi" w:cstheme="minorHAnsi"/>
          <w:color w:val="000000"/>
          <w:sz w:val="22"/>
          <w:szCs w:val="22"/>
          <w:lang w:val="de-DE"/>
        </w:rPr>
      </w:pPr>
    </w:p>
    <w:p w14:paraId="19EE3537" w14:textId="77777777" w:rsidR="00E26E82" w:rsidRPr="00E26E82" w:rsidRDefault="00E26E82" w:rsidP="00E26E82">
      <w:pPr>
        <w:pStyle w:val="NormalWeb"/>
        <w:spacing w:before="0" w:beforeAutospacing="0" w:after="0" w:afterAutospacing="0"/>
        <w:rPr>
          <w:rFonts w:asciiTheme="minorHAnsi" w:hAnsiTheme="minorHAnsi" w:cstheme="minorHAnsi"/>
          <w:sz w:val="22"/>
          <w:szCs w:val="22"/>
          <w:lang w:val="de-DE"/>
        </w:rPr>
      </w:pPr>
      <w:r w:rsidRPr="00E26E82">
        <w:rPr>
          <w:rFonts w:asciiTheme="minorHAnsi" w:hAnsiTheme="minorHAnsi" w:cstheme="minorHAnsi"/>
          <w:color w:val="000000"/>
          <w:sz w:val="22"/>
          <w:szCs w:val="22"/>
          <w:lang w:val="de-DE"/>
        </w:rPr>
        <w:t xml:space="preserve">Hagen Lihl / </w:t>
      </w:r>
      <w:proofErr w:type="spellStart"/>
      <w:r w:rsidRPr="00E26E82">
        <w:rPr>
          <w:rFonts w:asciiTheme="minorHAnsi" w:hAnsiTheme="minorHAnsi" w:cstheme="minorHAnsi"/>
          <w:sz w:val="22"/>
          <w:szCs w:val="22"/>
          <w:lang w:val="de-DE"/>
        </w:rPr>
        <w:t>UpGrid</w:t>
      </w:r>
      <w:proofErr w:type="spellEnd"/>
      <w:r w:rsidRPr="00E26E82">
        <w:rPr>
          <w:rFonts w:asciiTheme="minorHAnsi" w:hAnsiTheme="minorHAnsi" w:cstheme="minorHAnsi"/>
          <w:sz w:val="22"/>
          <w:szCs w:val="22"/>
          <w:lang w:val="de-DE"/>
        </w:rPr>
        <w:t xml:space="preserve"> AG / Baar (ZG)</w:t>
      </w:r>
    </w:p>
    <w:p w14:paraId="627C30A8" w14:textId="77777777" w:rsidR="00E26E82" w:rsidRPr="00E26E82" w:rsidRDefault="00E26E82" w:rsidP="00E26E82">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Software zur Vernetzung und Steuerung lokaler erneuerbarer Energie</w:t>
      </w:r>
    </w:p>
    <w:p w14:paraId="51638747"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Da immer mehr Haushalte und Unternehmen Solaranlagen installieren, wird Strom zunehmend lokal produziert. Doch die heutigen Energiemärkte sind nicht darauf ausgelegt, diese dezentrale Produktion effizient zu verwalten. </w:t>
      </w:r>
      <w:proofErr w:type="spellStart"/>
      <w:r w:rsidRPr="00E26E82">
        <w:rPr>
          <w:rFonts w:asciiTheme="minorHAnsi" w:hAnsiTheme="minorHAnsi" w:cstheme="minorHAnsi"/>
          <w:color w:val="000000"/>
          <w:sz w:val="22"/>
          <w:szCs w:val="22"/>
          <w:lang w:val="de-DE"/>
        </w:rPr>
        <w:t>UpGrid</w:t>
      </w:r>
      <w:proofErr w:type="spellEnd"/>
      <w:r w:rsidRPr="00E26E82">
        <w:rPr>
          <w:rFonts w:asciiTheme="minorHAnsi" w:hAnsiTheme="minorHAnsi" w:cstheme="minorHAnsi"/>
          <w:color w:val="000000"/>
          <w:sz w:val="22"/>
          <w:szCs w:val="22"/>
          <w:lang w:val="de-DE"/>
        </w:rPr>
        <w:t xml:space="preserve"> entwickelt eine Softwareplattform, die Solaranlagen, Batterien und andere lokale Energiequellen vernetzt und es allen Beteiligten ermöglicht zu steuern, wann Strom verbraucht, gespeichert oder verkauft wird. Durch die Automatisierung von Handel, Abrechnung und Koordination ermöglicht </w:t>
      </w:r>
      <w:proofErr w:type="spellStart"/>
      <w:r w:rsidRPr="00E26E82">
        <w:rPr>
          <w:rFonts w:asciiTheme="minorHAnsi" w:hAnsiTheme="minorHAnsi" w:cstheme="minorHAnsi"/>
          <w:color w:val="000000"/>
          <w:sz w:val="22"/>
          <w:szCs w:val="22"/>
          <w:lang w:val="de-DE"/>
        </w:rPr>
        <w:t>UpGrid</w:t>
      </w:r>
      <w:proofErr w:type="spellEnd"/>
      <w:r w:rsidRPr="00E26E82">
        <w:rPr>
          <w:rFonts w:asciiTheme="minorHAnsi" w:hAnsiTheme="minorHAnsi" w:cstheme="minorHAnsi"/>
          <w:color w:val="000000"/>
          <w:sz w:val="22"/>
          <w:szCs w:val="22"/>
          <w:lang w:val="de-DE"/>
        </w:rPr>
        <w:t xml:space="preserve"> eine effizientere Nutzung lokal erzeugter Energie – was den Eigenverbrauch erhöht und Investitionen in erneuerbare Energien attraktiver macht.</w:t>
      </w:r>
    </w:p>
    <w:p w14:paraId="0D4D1B06" w14:textId="787DF6DD" w:rsidR="00E26E82" w:rsidRPr="00E26E82" w:rsidRDefault="00E26E82" w:rsidP="00E26E82">
      <w:pPr>
        <w:rPr>
          <w:rFonts w:asciiTheme="minorHAnsi" w:eastAsiaTheme="minorEastAsia" w:hAnsiTheme="minorHAnsi" w:cstheme="minorHAnsi"/>
          <w:color w:val="000000"/>
          <w:sz w:val="22"/>
          <w:szCs w:val="22"/>
          <w:lang w:val="de-DE" w:eastAsia="de-DE"/>
        </w:rPr>
      </w:pPr>
    </w:p>
    <w:p w14:paraId="6212625C" w14:textId="77777777" w:rsidR="00E26E82" w:rsidRPr="00E26E82" w:rsidRDefault="00E26E82" w:rsidP="00E26E82">
      <w:pPr>
        <w:pStyle w:val="NormalWeb"/>
        <w:spacing w:before="0" w:beforeAutospacing="0" w:after="0" w:afterAutospacing="0"/>
        <w:rPr>
          <w:rFonts w:asciiTheme="minorHAnsi" w:hAnsiTheme="minorHAnsi" w:cstheme="minorHAnsi"/>
          <w:sz w:val="22"/>
          <w:szCs w:val="22"/>
          <w:lang w:val="en-US"/>
        </w:rPr>
      </w:pPr>
      <w:r w:rsidRPr="00E26E82">
        <w:rPr>
          <w:rFonts w:asciiTheme="minorHAnsi" w:hAnsiTheme="minorHAnsi" w:cstheme="minorHAnsi"/>
          <w:color w:val="000000"/>
          <w:sz w:val="22"/>
          <w:szCs w:val="22"/>
          <w:lang w:val="en-US"/>
        </w:rPr>
        <w:t xml:space="preserve">Giancarlo </w:t>
      </w:r>
      <w:r w:rsidRPr="00E26E82">
        <w:rPr>
          <w:rFonts w:asciiTheme="minorHAnsi" w:hAnsiTheme="minorHAnsi" w:cstheme="minorHAnsi"/>
          <w:sz w:val="22"/>
          <w:szCs w:val="22"/>
          <w:lang w:val="en-US"/>
        </w:rPr>
        <w:t xml:space="preserve">Mattiello / </w:t>
      </w:r>
      <w:proofErr w:type="spellStart"/>
      <w:r w:rsidRPr="00E26E82">
        <w:rPr>
          <w:rFonts w:asciiTheme="minorHAnsi" w:hAnsiTheme="minorHAnsi" w:cstheme="minorHAnsi"/>
          <w:sz w:val="22"/>
          <w:szCs w:val="22"/>
          <w:lang w:val="en-US"/>
        </w:rPr>
        <w:t>Cria</w:t>
      </w:r>
      <w:proofErr w:type="spellEnd"/>
      <w:r w:rsidRPr="00E26E82">
        <w:rPr>
          <w:rFonts w:asciiTheme="minorHAnsi" w:hAnsiTheme="minorHAnsi" w:cstheme="minorHAnsi"/>
          <w:sz w:val="22"/>
          <w:szCs w:val="22"/>
          <w:lang w:val="en-US"/>
        </w:rPr>
        <w:t xml:space="preserve"> Technologies SA / Plan-les-</w:t>
      </w:r>
      <w:proofErr w:type="spellStart"/>
      <w:r w:rsidRPr="00E26E82">
        <w:rPr>
          <w:rFonts w:asciiTheme="minorHAnsi" w:hAnsiTheme="minorHAnsi" w:cstheme="minorHAnsi"/>
          <w:sz w:val="22"/>
          <w:szCs w:val="22"/>
          <w:lang w:val="en-US"/>
        </w:rPr>
        <w:t>Ouates</w:t>
      </w:r>
      <w:proofErr w:type="spellEnd"/>
      <w:r w:rsidRPr="00E26E82">
        <w:rPr>
          <w:rFonts w:asciiTheme="minorHAnsi" w:hAnsiTheme="minorHAnsi" w:cstheme="minorHAnsi"/>
          <w:sz w:val="22"/>
          <w:szCs w:val="22"/>
          <w:lang w:val="en-US"/>
        </w:rPr>
        <w:t xml:space="preserve"> (GE)</w:t>
      </w:r>
    </w:p>
    <w:p w14:paraId="76545190" w14:textId="77777777" w:rsidR="00E26E82" w:rsidRPr="00E26E82" w:rsidRDefault="00E26E82" w:rsidP="00E26E82">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Hochvakuumbehälter für den zuverlässigen Transport sensibler biologischer Materialien</w:t>
      </w:r>
    </w:p>
    <w:p w14:paraId="1BCA01F8"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Moderne Therapien wie Zell- und Genbehandlungen oder IVF-Proben erfordern während des Transports </w:t>
      </w:r>
      <w:proofErr w:type="spellStart"/>
      <w:r w:rsidRPr="00E26E82">
        <w:rPr>
          <w:rFonts w:asciiTheme="minorHAnsi" w:hAnsiTheme="minorHAnsi" w:cstheme="minorHAnsi"/>
          <w:color w:val="000000"/>
          <w:sz w:val="22"/>
          <w:szCs w:val="22"/>
          <w:lang w:val="de-DE"/>
        </w:rPr>
        <w:t>äusserst</w:t>
      </w:r>
      <w:proofErr w:type="spellEnd"/>
      <w:r w:rsidRPr="00E26E82">
        <w:rPr>
          <w:rFonts w:asciiTheme="minorHAnsi" w:hAnsiTheme="minorHAnsi" w:cstheme="minorHAnsi"/>
          <w:color w:val="000000"/>
          <w:sz w:val="22"/>
          <w:szCs w:val="22"/>
          <w:lang w:val="de-DE"/>
        </w:rPr>
        <w:t xml:space="preserve"> stabile Temperaturbedingungen. Viele Sendungen setzen jedoch noch immer auf Trockeneis. Dieses ist schwierig zu handhaben und anfällig für Temperaturschwankungen, die wertvolle Therapien gefährden können. </w:t>
      </w:r>
      <w:proofErr w:type="spellStart"/>
      <w:r w:rsidRPr="00E26E82">
        <w:rPr>
          <w:rFonts w:asciiTheme="minorHAnsi" w:hAnsiTheme="minorHAnsi" w:cstheme="minorHAnsi"/>
          <w:color w:val="000000"/>
          <w:sz w:val="22"/>
          <w:szCs w:val="22"/>
          <w:lang w:val="de-DE"/>
        </w:rPr>
        <w:t>Crìa</w:t>
      </w:r>
      <w:proofErr w:type="spellEnd"/>
      <w:r w:rsidRPr="00E26E82">
        <w:rPr>
          <w:rFonts w:asciiTheme="minorHAnsi" w:hAnsiTheme="minorHAnsi" w:cstheme="minorHAnsi"/>
          <w:color w:val="000000"/>
          <w:sz w:val="22"/>
          <w:szCs w:val="22"/>
          <w:lang w:val="de-DE"/>
        </w:rPr>
        <w:t xml:space="preserve"> Technologies entwickelt hochvakuumisolierte Behälter, die den Wärmeübergang drastisch reduzieren. Das erste Produkt, </w:t>
      </w:r>
      <w:proofErr w:type="spellStart"/>
      <w:r w:rsidRPr="00E26E82">
        <w:rPr>
          <w:rFonts w:asciiTheme="minorHAnsi" w:hAnsiTheme="minorHAnsi" w:cstheme="minorHAnsi"/>
          <w:color w:val="000000"/>
          <w:sz w:val="22"/>
          <w:szCs w:val="22"/>
          <w:lang w:val="de-DE"/>
        </w:rPr>
        <w:t>Crìa</w:t>
      </w:r>
      <w:proofErr w:type="spellEnd"/>
      <w:r w:rsidRPr="00E26E82">
        <w:rPr>
          <w:rFonts w:asciiTheme="minorHAnsi" w:hAnsiTheme="minorHAnsi" w:cstheme="minorHAnsi"/>
          <w:color w:val="000000"/>
          <w:sz w:val="22"/>
          <w:szCs w:val="22"/>
          <w:lang w:val="de-DE"/>
        </w:rPr>
        <w:t xml:space="preserve"> Go, lässt sich über die Schulter tragen, darf in der Kabine mitfliegen und funktioniert mit wiederverwendbaren Kühlakkus statt Trockeneis. Diese Lösung ist zuverlässig wie ein Kryobehälter, aber einfach genug für den Versand via normalen Kurierdienst.</w:t>
      </w:r>
    </w:p>
    <w:p w14:paraId="353AB504" w14:textId="77777777" w:rsidR="00E26E82" w:rsidRPr="00E26E82" w:rsidRDefault="00E26E82" w:rsidP="00E26E82">
      <w:pPr>
        <w:pStyle w:val="NormalWeb"/>
        <w:spacing w:before="0" w:beforeAutospacing="0" w:after="0" w:afterAutospacing="0"/>
        <w:rPr>
          <w:rFonts w:asciiTheme="minorHAnsi" w:hAnsiTheme="minorHAnsi" w:cstheme="minorHAnsi"/>
          <w:color w:val="000000"/>
          <w:sz w:val="22"/>
          <w:szCs w:val="22"/>
          <w:lang w:val="de-DE"/>
        </w:rPr>
      </w:pPr>
    </w:p>
    <w:p w14:paraId="283F31F9" w14:textId="77777777" w:rsidR="00E26E82" w:rsidRPr="00E26E82" w:rsidRDefault="00E26E82" w:rsidP="00E26E82">
      <w:pPr>
        <w:pStyle w:val="NormalWeb"/>
        <w:spacing w:before="0" w:beforeAutospacing="0" w:after="0" w:afterAutospacing="0"/>
        <w:rPr>
          <w:rFonts w:asciiTheme="minorHAnsi" w:hAnsiTheme="minorHAnsi" w:cstheme="minorHAnsi"/>
          <w:sz w:val="22"/>
          <w:szCs w:val="22"/>
          <w:lang w:val="de-DE"/>
        </w:rPr>
      </w:pPr>
      <w:r w:rsidRPr="00E26E82">
        <w:rPr>
          <w:rFonts w:asciiTheme="minorHAnsi" w:hAnsiTheme="minorHAnsi" w:cstheme="minorHAnsi"/>
          <w:color w:val="000000"/>
          <w:sz w:val="22"/>
          <w:szCs w:val="22"/>
          <w:lang w:val="de-DE"/>
        </w:rPr>
        <w:t xml:space="preserve">Robert Schreiber / </w:t>
      </w:r>
      <w:proofErr w:type="spellStart"/>
      <w:r w:rsidRPr="00E26E82">
        <w:rPr>
          <w:rFonts w:asciiTheme="minorHAnsi" w:hAnsiTheme="minorHAnsi" w:cstheme="minorHAnsi"/>
          <w:sz w:val="22"/>
          <w:szCs w:val="22"/>
          <w:lang w:val="de-DE"/>
        </w:rPr>
        <w:t>Alpinasana</w:t>
      </w:r>
      <w:proofErr w:type="spellEnd"/>
      <w:r w:rsidRPr="00E26E82">
        <w:rPr>
          <w:rFonts w:asciiTheme="minorHAnsi" w:hAnsiTheme="minorHAnsi" w:cstheme="minorHAnsi"/>
          <w:sz w:val="22"/>
          <w:szCs w:val="22"/>
          <w:lang w:val="de-DE"/>
        </w:rPr>
        <w:t xml:space="preserve"> AG / Zürich (ZH)</w:t>
      </w:r>
    </w:p>
    <w:p w14:paraId="1B6CD6EE" w14:textId="77777777" w:rsidR="00E26E82" w:rsidRPr="00E26E82" w:rsidRDefault="00E26E82" w:rsidP="00E26E82">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Mangelernährung frühzeitig erkennen und gezielt behandeln</w:t>
      </w:r>
    </w:p>
    <w:p w14:paraId="397E2827"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Mangelernährung ist ein weit verbreitetes, aber oft unterschätztes Problem: Bis zu 30 % der Spitalpatienten und mehr als die Hälfte aller älteren Menschen sind betroffen – mit schwerwiegenden gesundheitlichen Folgen und hohen Kosten für das Gesundheitssystem. </w:t>
      </w:r>
      <w:proofErr w:type="spellStart"/>
      <w:r w:rsidRPr="00E26E82">
        <w:rPr>
          <w:rFonts w:asciiTheme="minorHAnsi" w:hAnsiTheme="minorHAnsi" w:cstheme="minorHAnsi"/>
          <w:color w:val="000000"/>
          <w:sz w:val="22"/>
          <w:szCs w:val="22"/>
          <w:lang w:val="de-DE"/>
        </w:rPr>
        <w:t>Alpinasana</w:t>
      </w:r>
      <w:proofErr w:type="spellEnd"/>
      <w:r w:rsidRPr="00E26E82">
        <w:rPr>
          <w:rFonts w:asciiTheme="minorHAnsi" w:hAnsiTheme="minorHAnsi" w:cstheme="minorHAnsi"/>
          <w:color w:val="000000"/>
          <w:sz w:val="22"/>
          <w:szCs w:val="22"/>
          <w:lang w:val="de-DE"/>
        </w:rPr>
        <w:t xml:space="preserve"> begegnet dieser Herausforderung mit einem kombinierten Ansatz aus digitaler Technologie und Ernährungsmedizin. Ein KI-basiertes System analysiert Mahlzeiten in Spitälern und erkennt frühzeitig, welche </w:t>
      </w:r>
      <w:proofErr w:type="spellStart"/>
      <w:proofErr w:type="gramStart"/>
      <w:r w:rsidRPr="00E26E82">
        <w:rPr>
          <w:rFonts w:asciiTheme="minorHAnsi" w:hAnsiTheme="minorHAnsi" w:cstheme="minorHAnsi"/>
          <w:color w:val="000000"/>
          <w:sz w:val="22"/>
          <w:szCs w:val="22"/>
          <w:lang w:val="de-DE"/>
        </w:rPr>
        <w:t>Patient:innen</w:t>
      </w:r>
      <w:proofErr w:type="spellEnd"/>
      <w:proofErr w:type="gramEnd"/>
      <w:r w:rsidRPr="00E26E82">
        <w:rPr>
          <w:rFonts w:asciiTheme="minorHAnsi" w:hAnsiTheme="minorHAnsi" w:cstheme="minorHAnsi"/>
          <w:color w:val="000000"/>
          <w:sz w:val="22"/>
          <w:szCs w:val="22"/>
          <w:lang w:val="de-DE"/>
        </w:rPr>
        <w:t xml:space="preserve"> gefährdet sind. Diese erhalten dann speziell entwickelte medizinische Ernährungsprodukte, die durch guten Geschmack und Abwechslung zur </w:t>
      </w:r>
      <w:proofErr w:type="spellStart"/>
      <w:r w:rsidRPr="00E26E82">
        <w:rPr>
          <w:rFonts w:asciiTheme="minorHAnsi" w:hAnsiTheme="minorHAnsi" w:cstheme="minorHAnsi"/>
          <w:color w:val="000000"/>
          <w:sz w:val="22"/>
          <w:szCs w:val="22"/>
          <w:lang w:val="de-DE"/>
        </w:rPr>
        <w:t>regelmässigen</w:t>
      </w:r>
      <w:proofErr w:type="spellEnd"/>
      <w:r w:rsidRPr="00E26E82">
        <w:rPr>
          <w:rFonts w:asciiTheme="minorHAnsi" w:hAnsiTheme="minorHAnsi" w:cstheme="minorHAnsi"/>
          <w:color w:val="000000"/>
          <w:sz w:val="22"/>
          <w:szCs w:val="22"/>
          <w:lang w:val="de-DE"/>
        </w:rPr>
        <w:t xml:space="preserve"> Einnahme animieren. So will </w:t>
      </w:r>
      <w:proofErr w:type="spellStart"/>
      <w:r w:rsidRPr="00E26E82">
        <w:rPr>
          <w:rFonts w:asciiTheme="minorHAnsi" w:hAnsiTheme="minorHAnsi" w:cstheme="minorHAnsi"/>
          <w:color w:val="000000"/>
          <w:sz w:val="22"/>
          <w:szCs w:val="22"/>
          <w:lang w:val="de-DE"/>
        </w:rPr>
        <w:t>Alpinasana</w:t>
      </w:r>
      <w:proofErr w:type="spellEnd"/>
      <w:r w:rsidRPr="00E26E82">
        <w:rPr>
          <w:rFonts w:asciiTheme="minorHAnsi" w:hAnsiTheme="minorHAnsi" w:cstheme="minorHAnsi"/>
          <w:color w:val="000000"/>
          <w:sz w:val="22"/>
          <w:szCs w:val="22"/>
          <w:lang w:val="de-DE"/>
        </w:rPr>
        <w:t xml:space="preserve"> die Versorgung verbessern und gleichzeitig Gesundheitskosten senken.</w:t>
      </w:r>
    </w:p>
    <w:p w14:paraId="37D722C8" w14:textId="77777777" w:rsidR="00E26E82" w:rsidRPr="00E26E82" w:rsidRDefault="00E26E82" w:rsidP="00E26E82">
      <w:pPr>
        <w:rPr>
          <w:rFonts w:asciiTheme="minorHAnsi" w:hAnsiTheme="minorHAnsi" w:cstheme="minorHAnsi"/>
          <w:sz w:val="22"/>
          <w:szCs w:val="22"/>
        </w:rPr>
      </w:pPr>
    </w:p>
    <w:p w14:paraId="733B02CC" w14:textId="77777777" w:rsidR="00E26E82" w:rsidRPr="00E26E82" w:rsidRDefault="00E26E82">
      <w:pPr>
        <w:spacing w:after="160" w:line="278" w:lineRule="auto"/>
        <w:rPr>
          <w:rFonts w:asciiTheme="minorHAnsi" w:eastAsiaTheme="minorEastAsia" w:hAnsiTheme="minorHAnsi" w:cstheme="minorHAnsi"/>
          <w:sz w:val="22"/>
          <w:szCs w:val="22"/>
          <w:lang w:val="de-DE" w:eastAsia="de-DE"/>
        </w:rPr>
      </w:pPr>
      <w:r w:rsidRPr="00E26E82">
        <w:rPr>
          <w:rFonts w:asciiTheme="minorHAnsi" w:hAnsiTheme="minorHAnsi" w:cstheme="minorHAnsi"/>
          <w:sz w:val="22"/>
          <w:szCs w:val="22"/>
          <w:lang w:val="de-DE"/>
        </w:rPr>
        <w:br w:type="page"/>
      </w:r>
    </w:p>
    <w:p w14:paraId="535E187D" w14:textId="1374645D" w:rsidR="00E26E82" w:rsidRPr="00E26E82" w:rsidRDefault="00E26E82" w:rsidP="00E26E82">
      <w:pPr>
        <w:pStyle w:val="NormalWeb"/>
        <w:spacing w:before="0" w:beforeAutospacing="0" w:after="0" w:afterAutospacing="0"/>
        <w:rPr>
          <w:rFonts w:asciiTheme="minorHAnsi" w:hAnsiTheme="minorHAnsi" w:cstheme="minorHAnsi"/>
          <w:sz w:val="22"/>
          <w:szCs w:val="22"/>
          <w:lang w:val="de-DE"/>
        </w:rPr>
      </w:pPr>
      <w:r w:rsidRPr="00E26E82">
        <w:rPr>
          <w:rFonts w:asciiTheme="minorHAnsi" w:hAnsiTheme="minorHAnsi" w:cstheme="minorHAnsi"/>
          <w:sz w:val="22"/>
          <w:szCs w:val="22"/>
          <w:lang w:val="de-DE"/>
        </w:rPr>
        <w:lastRenderedPageBreak/>
        <w:t xml:space="preserve">Arthur Sebesteny / Dental Robotics </w:t>
      </w:r>
    </w:p>
    <w:p w14:paraId="5BDE5856" w14:textId="77777777" w:rsidR="00E26E82" w:rsidRPr="00E26E82" w:rsidRDefault="00E26E82" w:rsidP="00E26E82">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Tragbares System für präventive Zahnpflege überall</w:t>
      </w:r>
    </w:p>
    <w:p w14:paraId="7BEFCEC7"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Mundkrankheiten betreffen weltweit mehr als 3,5 Milliarden Menschen und stehen in Zusammenhang mit ernsthaften chronischen Erkrankungen – dennoch ist präventive Zahnpflege oft schwer zugänglich. Viele Patienten meiden </w:t>
      </w:r>
      <w:proofErr w:type="spellStart"/>
      <w:r w:rsidRPr="00E26E82">
        <w:rPr>
          <w:rFonts w:asciiTheme="minorHAnsi" w:hAnsiTheme="minorHAnsi" w:cstheme="minorHAnsi"/>
          <w:color w:val="000000"/>
          <w:sz w:val="22"/>
          <w:szCs w:val="22"/>
          <w:lang w:val="de-DE"/>
        </w:rPr>
        <w:t>regelmässige</w:t>
      </w:r>
      <w:proofErr w:type="spellEnd"/>
      <w:r w:rsidRPr="00E26E82">
        <w:rPr>
          <w:rFonts w:asciiTheme="minorHAnsi" w:hAnsiTheme="minorHAnsi" w:cstheme="minorHAnsi"/>
          <w:color w:val="000000"/>
          <w:sz w:val="22"/>
          <w:szCs w:val="22"/>
          <w:lang w:val="de-DE"/>
        </w:rPr>
        <w:t xml:space="preserve"> Besuche wegen langer Anfahrten, Wartezeiten oder der Hemmschwelle vor klinischen Umgebungen. Dental Robotics entwickelt ein ultraportables 3-in-1-Dentalgerät mit digitaler Plattform, das professionelle Behandlungen </w:t>
      </w:r>
      <w:proofErr w:type="spellStart"/>
      <w:r w:rsidRPr="00E26E82">
        <w:rPr>
          <w:rFonts w:asciiTheme="minorHAnsi" w:hAnsiTheme="minorHAnsi" w:cstheme="minorHAnsi"/>
          <w:color w:val="000000"/>
          <w:sz w:val="22"/>
          <w:szCs w:val="22"/>
          <w:lang w:val="de-DE"/>
        </w:rPr>
        <w:t>ausserhalb</w:t>
      </w:r>
      <w:proofErr w:type="spellEnd"/>
      <w:r w:rsidRPr="00E26E82">
        <w:rPr>
          <w:rFonts w:asciiTheme="minorHAnsi" w:hAnsiTheme="minorHAnsi" w:cstheme="minorHAnsi"/>
          <w:color w:val="000000"/>
          <w:sz w:val="22"/>
          <w:szCs w:val="22"/>
          <w:lang w:val="de-DE"/>
        </w:rPr>
        <w:t xml:space="preserve"> traditioneller Praxen ermöglicht – zu Hause, am Arbeitsplatz oder in Pflegeeinrichtungen. Ziel ist es, den Zugang zur Zahnpflege zu verbessern und langfristig die Mundgesundheit zu stärken.</w:t>
      </w:r>
    </w:p>
    <w:p w14:paraId="48B413A5"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p>
    <w:p w14:paraId="3F6276A9" w14:textId="77777777" w:rsidR="00E26E82" w:rsidRPr="00E26E82" w:rsidRDefault="00E26E82" w:rsidP="00E26E82">
      <w:pPr>
        <w:pStyle w:val="NormalWeb"/>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rPr>
        <w:t xml:space="preserve">Martin Stadler / </w:t>
      </w:r>
      <w:proofErr w:type="spellStart"/>
      <w:r w:rsidRPr="00E26E82">
        <w:rPr>
          <w:rFonts w:asciiTheme="minorHAnsi" w:hAnsiTheme="minorHAnsi" w:cstheme="minorHAnsi"/>
          <w:color w:val="000000"/>
          <w:sz w:val="22"/>
          <w:szCs w:val="22"/>
        </w:rPr>
        <w:t>Qendra</w:t>
      </w:r>
      <w:proofErr w:type="spellEnd"/>
    </w:p>
    <w:p w14:paraId="3F6F0371" w14:textId="77777777" w:rsidR="00E26E82" w:rsidRPr="00E26E82" w:rsidRDefault="00E26E82" w:rsidP="00E26E82">
      <w:pPr>
        <w:pStyle w:val="font-claude-response-body"/>
        <w:spacing w:before="0" w:beforeAutospacing="0" w:after="0" w:afterAutospacing="0"/>
        <w:rPr>
          <w:rFonts w:asciiTheme="minorHAnsi" w:hAnsiTheme="minorHAnsi" w:cstheme="minorHAnsi"/>
          <w:b/>
          <w:bCs/>
          <w:color w:val="000000"/>
          <w:sz w:val="22"/>
          <w:szCs w:val="22"/>
          <w:lang w:val="de-DE"/>
        </w:rPr>
      </w:pPr>
      <w:r w:rsidRPr="00E26E82">
        <w:rPr>
          <w:rFonts w:asciiTheme="minorHAnsi" w:hAnsiTheme="minorHAnsi" w:cstheme="minorHAnsi"/>
          <w:b/>
          <w:bCs/>
          <w:color w:val="000000"/>
          <w:sz w:val="22"/>
          <w:szCs w:val="22"/>
          <w:lang w:val="de-DE"/>
        </w:rPr>
        <w:t>Steuerungstechnologie für einen zentralen Engpass im Quantencomputing</w:t>
      </w:r>
    </w:p>
    <w:p w14:paraId="20E3DBEC"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Fonts w:asciiTheme="minorHAnsi" w:hAnsiTheme="minorHAnsi" w:cstheme="minorHAnsi"/>
          <w:color w:val="000000"/>
          <w:sz w:val="22"/>
          <w:szCs w:val="22"/>
          <w:lang w:val="de-DE"/>
        </w:rPr>
        <w:t xml:space="preserve">Quantencomputer versprechen </w:t>
      </w:r>
      <w:proofErr w:type="spellStart"/>
      <w:r w:rsidRPr="00E26E82">
        <w:rPr>
          <w:rFonts w:asciiTheme="minorHAnsi" w:hAnsiTheme="minorHAnsi" w:cstheme="minorHAnsi"/>
          <w:color w:val="000000"/>
          <w:sz w:val="22"/>
          <w:szCs w:val="22"/>
          <w:lang w:val="de-DE"/>
        </w:rPr>
        <w:t>grosse</w:t>
      </w:r>
      <w:proofErr w:type="spellEnd"/>
      <w:r w:rsidRPr="00E26E82">
        <w:rPr>
          <w:rFonts w:asciiTheme="minorHAnsi" w:hAnsiTheme="minorHAnsi" w:cstheme="minorHAnsi"/>
          <w:color w:val="000000"/>
          <w:sz w:val="22"/>
          <w:szCs w:val="22"/>
          <w:lang w:val="de-DE"/>
        </w:rPr>
        <w:t xml:space="preserve"> Fortschritte in Bereichen wie Medikamentenentwicklung und sicherer Kommunikation – doch ihre Entwicklung bleibt extrem komplex. Viele Systeme basieren auf einzelnen Atomen, die mit </w:t>
      </w:r>
      <w:proofErr w:type="spellStart"/>
      <w:r w:rsidRPr="00E26E82">
        <w:rPr>
          <w:rFonts w:asciiTheme="minorHAnsi" w:hAnsiTheme="minorHAnsi" w:cstheme="minorHAnsi"/>
          <w:color w:val="000000"/>
          <w:sz w:val="22"/>
          <w:szCs w:val="22"/>
          <w:lang w:val="de-DE"/>
        </w:rPr>
        <w:t>ausserordentlicher</w:t>
      </w:r>
      <w:proofErr w:type="spellEnd"/>
      <w:r w:rsidRPr="00E26E82">
        <w:rPr>
          <w:rFonts w:asciiTheme="minorHAnsi" w:hAnsiTheme="minorHAnsi" w:cstheme="minorHAnsi"/>
          <w:color w:val="000000"/>
          <w:sz w:val="22"/>
          <w:szCs w:val="22"/>
          <w:lang w:val="de-DE"/>
        </w:rPr>
        <w:t xml:space="preserve"> Präzision gesteuert werden müssen. Bestehende Lösungen sind oft aufwändig einzurichten und verlangsamen so Forschung und Entwicklung. </w:t>
      </w:r>
      <w:proofErr w:type="spellStart"/>
      <w:r w:rsidRPr="00E26E82">
        <w:rPr>
          <w:rFonts w:asciiTheme="minorHAnsi" w:hAnsiTheme="minorHAnsi" w:cstheme="minorHAnsi"/>
          <w:color w:val="000000"/>
          <w:sz w:val="22"/>
          <w:szCs w:val="22"/>
          <w:lang w:val="de-DE"/>
        </w:rPr>
        <w:t>Qendra</w:t>
      </w:r>
      <w:proofErr w:type="spellEnd"/>
      <w:r w:rsidRPr="00E26E82">
        <w:rPr>
          <w:rFonts w:asciiTheme="minorHAnsi" w:hAnsiTheme="minorHAnsi" w:cstheme="minorHAnsi"/>
          <w:color w:val="000000"/>
          <w:sz w:val="22"/>
          <w:szCs w:val="22"/>
          <w:lang w:val="de-DE"/>
        </w:rPr>
        <w:t xml:space="preserve"> bietet eine integrierte Hard- und Softwareplattform, die speziell für atomare Quantensysteme entwickelt wurde – für einfachere Steuerung, höhere Stabilität und effizientere Experimente auf dem Weg zum praxistauglichen Quantencomputer.</w:t>
      </w:r>
    </w:p>
    <w:p w14:paraId="6A1F057D" w14:textId="77777777" w:rsidR="00191BC4" w:rsidRPr="00E26E82" w:rsidRDefault="00191BC4" w:rsidP="00E26E82">
      <w:pPr>
        <w:rPr>
          <w:rFonts w:asciiTheme="minorHAnsi" w:eastAsiaTheme="minorEastAsia" w:hAnsiTheme="minorHAnsi" w:cstheme="minorHAnsi"/>
          <w:bCs/>
          <w:color w:val="000000" w:themeColor="text1"/>
          <w:sz w:val="22"/>
          <w:szCs w:val="22"/>
          <w:lang w:val="de-DE"/>
        </w:rPr>
      </w:pPr>
    </w:p>
    <w:p w14:paraId="5213FED3" w14:textId="77777777" w:rsidR="00E26E82" w:rsidRPr="00E26E82" w:rsidRDefault="00E26E82" w:rsidP="00E26E82">
      <w:pPr>
        <w:pStyle w:val="font-claude-response-body"/>
        <w:spacing w:before="0" w:beforeAutospacing="0" w:after="0" w:afterAutospacing="0"/>
        <w:rPr>
          <w:rFonts w:asciiTheme="minorHAnsi" w:hAnsiTheme="minorHAnsi" w:cstheme="minorHAnsi"/>
          <w:color w:val="000000"/>
          <w:sz w:val="22"/>
          <w:szCs w:val="22"/>
          <w:lang w:val="de-DE"/>
        </w:rPr>
      </w:pPr>
      <w:r w:rsidRPr="00E26E82">
        <w:rPr>
          <w:rStyle w:val="Strong"/>
          <w:rFonts w:asciiTheme="minorHAnsi" w:hAnsiTheme="minorHAnsi" w:cstheme="minorHAnsi"/>
          <w:color w:val="000000"/>
          <w:sz w:val="22"/>
          <w:szCs w:val="22"/>
          <w:lang w:val="de-DE"/>
        </w:rPr>
        <w:t>Über den W.A. de Vigier Award</w:t>
      </w:r>
    </w:p>
    <w:p w14:paraId="11929D0C" w14:textId="77777777" w:rsidR="00D52719" w:rsidRDefault="00D52719" w:rsidP="00E26E82">
      <w:pPr>
        <w:pStyle w:val="font-claude-response-body"/>
        <w:spacing w:before="0" w:beforeAutospacing="0" w:after="0" w:afterAutospacing="0"/>
        <w:rPr>
          <w:rFonts w:asciiTheme="minorHAnsi" w:hAnsiTheme="minorHAnsi" w:cstheme="minorHAnsi"/>
          <w:color w:val="000000"/>
          <w:sz w:val="22"/>
          <w:szCs w:val="22"/>
          <w:lang w:val="de-DE"/>
        </w:rPr>
      </w:pPr>
    </w:p>
    <w:p w14:paraId="65EE7536" w14:textId="6C008784" w:rsidR="00562D95" w:rsidRPr="00E26E82" w:rsidRDefault="00B949A3" w:rsidP="00E26E82">
      <w:pPr>
        <w:widowControl w:val="0"/>
        <w:autoSpaceDE w:val="0"/>
        <w:autoSpaceDN w:val="0"/>
        <w:adjustRightInd w:val="0"/>
        <w:rPr>
          <w:rFonts w:asciiTheme="minorHAnsi" w:eastAsiaTheme="minorEastAsia" w:hAnsiTheme="minorHAnsi" w:cstheme="minorHAnsi"/>
          <w:sz w:val="22"/>
          <w:szCs w:val="22"/>
          <w:lang w:val="de-DE"/>
        </w:rPr>
      </w:pPr>
      <w:r w:rsidRPr="00B949A3">
        <w:rPr>
          <w:rFonts w:asciiTheme="minorHAnsi" w:hAnsiTheme="minorHAnsi" w:cstheme="minorHAnsi"/>
          <w:color w:val="000000"/>
          <w:sz w:val="22"/>
          <w:szCs w:val="22"/>
          <w:lang w:val="de-DE" w:eastAsia="en-US"/>
        </w:rPr>
        <w:t>Der W.A. de Vigier Award ist der älteste Unternehmerpreis der Schweiz und gehört gleichzeitig zu den höchstdotierten Startup-Preisen des Landes. In den vergangenen 39 Jahren hat die Stiftung CHF 15,6 Millionen Startkapital an über 160 Jungunternehmen vergeben. Daraus entstanden florierende Startups, erfolgreiche Börsengänge, zahlreiche Unternehmensverkäufe und vor allem viele neu geschaffene Arbeitsplätze.</w:t>
      </w:r>
      <w:r w:rsidRPr="00B949A3">
        <w:rPr>
          <w:rFonts w:asciiTheme="minorHAnsi" w:hAnsiTheme="minorHAnsi" w:cstheme="minorHAnsi"/>
          <w:color w:val="000000"/>
          <w:sz w:val="22"/>
          <w:szCs w:val="22"/>
          <w:lang w:val="de-DE" w:eastAsia="en-US"/>
        </w:rPr>
        <w:br/>
      </w:r>
      <w:r w:rsidRPr="00B949A3">
        <w:rPr>
          <w:rFonts w:asciiTheme="minorHAnsi" w:hAnsiTheme="minorHAnsi" w:cstheme="minorHAnsi"/>
          <w:color w:val="000000"/>
          <w:sz w:val="22"/>
          <w:szCs w:val="22"/>
          <w:lang w:val="de-DE" w:eastAsia="en-US"/>
        </w:rPr>
        <w:br/>
        <w:t>Dank der Unterstützung unseres Förderpartners FERS erreicht die Gesamtpreissumme in diesem Jahr bis zu CHF 700 000 – ein wichtiger Beitrag zur Stärkung des Schweizer Startup-Ökosystems.</w:t>
      </w:r>
      <w:r w:rsidRPr="00B949A3">
        <w:rPr>
          <w:rFonts w:asciiTheme="minorHAnsi" w:hAnsiTheme="minorHAnsi" w:cstheme="minorHAnsi"/>
          <w:color w:val="000000"/>
          <w:sz w:val="22"/>
          <w:szCs w:val="22"/>
          <w:lang w:val="de-DE" w:eastAsia="en-US"/>
        </w:rPr>
        <w:br/>
      </w:r>
      <w:r w:rsidRPr="00B949A3">
        <w:rPr>
          <w:rFonts w:asciiTheme="minorHAnsi" w:hAnsiTheme="minorHAnsi" w:cstheme="minorHAnsi"/>
          <w:color w:val="000000"/>
          <w:sz w:val="22"/>
          <w:szCs w:val="22"/>
          <w:lang w:val="de-DE" w:eastAsia="en-US"/>
        </w:rPr>
        <w:br/>
        <w:t xml:space="preserve">Bei der Projektbeurteilung fallen folgende Faktoren ins Gewicht: Die Persönlichkeit der </w:t>
      </w:r>
      <w:proofErr w:type="spellStart"/>
      <w:r w:rsidRPr="00B949A3">
        <w:rPr>
          <w:rFonts w:asciiTheme="minorHAnsi" w:hAnsiTheme="minorHAnsi" w:cstheme="minorHAnsi"/>
          <w:color w:val="000000"/>
          <w:sz w:val="22"/>
          <w:szCs w:val="22"/>
          <w:lang w:val="de-DE" w:eastAsia="en-US"/>
        </w:rPr>
        <w:t>Unternehmer:innen</w:t>
      </w:r>
      <w:proofErr w:type="spellEnd"/>
      <w:r w:rsidRPr="00B949A3">
        <w:rPr>
          <w:rFonts w:asciiTheme="minorHAnsi" w:hAnsiTheme="minorHAnsi" w:cstheme="minorHAnsi"/>
          <w:color w:val="000000"/>
          <w:sz w:val="22"/>
          <w:szCs w:val="22"/>
          <w:lang w:val="de-DE" w:eastAsia="en-US"/>
        </w:rPr>
        <w:t>, der Innovationscharakter, die gesamtgesellschaftliche Relevanz, die technische und finanzielle Realisierbarkeit sowie Marktchancen und das Potenzial neuer Arbeitsplätze.</w:t>
      </w:r>
    </w:p>
    <w:p w14:paraId="081396BA" w14:textId="77777777" w:rsidR="00562D95" w:rsidRPr="00E26E82" w:rsidRDefault="00562D95" w:rsidP="00562D95">
      <w:pPr>
        <w:widowControl w:val="0"/>
        <w:autoSpaceDE w:val="0"/>
        <w:autoSpaceDN w:val="0"/>
        <w:adjustRightInd w:val="0"/>
        <w:rPr>
          <w:rFonts w:asciiTheme="minorHAnsi" w:eastAsiaTheme="minorEastAsia" w:hAnsiTheme="minorHAnsi" w:cstheme="minorHAnsi"/>
          <w:sz w:val="22"/>
          <w:szCs w:val="22"/>
          <w:lang w:val="de-DE"/>
        </w:rPr>
      </w:pPr>
    </w:p>
    <w:p w14:paraId="728A0594" w14:textId="77777777" w:rsidR="00562D95" w:rsidRPr="00E26E82" w:rsidRDefault="00562D95" w:rsidP="00E26E82">
      <w:pPr>
        <w:widowControl w:val="0"/>
        <w:autoSpaceDE w:val="0"/>
        <w:autoSpaceDN w:val="0"/>
        <w:adjustRightInd w:val="0"/>
        <w:jc w:val="center"/>
        <w:rPr>
          <w:rFonts w:asciiTheme="minorHAnsi" w:eastAsiaTheme="minorEastAsia" w:hAnsiTheme="minorHAnsi" w:cstheme="minorHAnsi"/>
          <w:sz w:val="22"/>
          <w:szCs w:val="22"/>
          <w:lang w:val="de-DE"/>
        </w:rPr>
      </w:pPr>
      <w:r w:rsidRPr="00E26E82">
        <w:rPr>
          <w:rFonts w:asciiTheme="minorHAnsi" w:eastAsiaTheme="minorEastAsia" w:hAnsiTheme="minorHAnsi" w:cstheme="minorHAnsi"/>
          <w:sz w:val="22"/>
          <w:szCs w:val="22"/>
          <w:lang w:val="de-DE"/>
        </w:rPr>
        <w:t>###</w:t>
      </w:r>
    </w:p>
    <w:p w14:paraId="3404FED2" w14:textId="77777777" w:rsidR="00562D95" w:rsidRPr="00E26E82" w:rsidRDefault="00562D95" w:rsidP="00562D95">
      <w:pPr>
        <w:widowControl w:val="0"/>
        <w:autoSpaceDE w:val="0"/>
        <w:autoSpaceDN w:val="0"/>
        <w:adjustRightInd w:val="0"/>
        <w:rPr>
          <w:rFonts w:asciiTheme="minorHAnsi" w:eastAsiaTheme="minorEastAsia" w:hAnsiTheme="minorHAnsi" w:cstheme="minorHAnsi"/>
          <w:b/>
          <w:bCs/>
          <w:sz w:val="22"/>
          <w:szCs w:val="22"/>
          <w:lang w:val="de-DE"/>
        </w:rPr>
      </w:pPr>
    </w:p>
    <w:p w14:paraId="3EB08219" w14:textId="77777777" w:rsidR="00562D95" w:rsidRPr="00E26E82" w:rsidRDefault="00562D95" w:rsidP="00562D95">
      <w:pPr>
        <w:widowControl w:val="0"/>
        <w:autoSpaceDE w:val="0"/>
        <w:autoSpaceDN w:val="0"/>
        <w:adjustRightInd w:val="0"/>
        <w:rPr>
          <w:rFonts w:asciiTheme="minorHAnsi" w:eastAsiaTheme="minorEastAsia" w:hAnsiTheme="minorHAnsi" w:cstheme="minorHAnsi"/>
          <w:b/>
          <w:bCs/>
          <w:sz w:val="22"/>
          <w:szCs w:val="22"/>
          <w:lang w:val="de-DE"/>
        </w:rPr>
      </w:pPr>
    </w:p>
    <w:p w14:paraId="147BE1AF" w14:textId="77777777" w:rsidR="00562D95" w:rsidRPr="00E26E82" w:rsidRDefault="00562D95" w:rsidP="00562D95">
      <w:pPr>
        <w:widowControl w:val="0"/>
        <w:autoSpaceDE w:val="0"/>
        <w:autoSpaceDN w:val="0"/>
        <w:adjustRightInd w:val="0"/>
        <w:rPr>
          <w:rFonts w:asciiTheme="minorHAnsi" w:eastAsiaTheme="minorEastAsia" w:hAnsiTheme="minorHAnsi" w:cstheme="minorHAnsi"/>
          <w:sz w:val="22"/>
          <w:szCs w:val="22"/>
          <w:lang w:val="de-DE"/>
        </w:rPr>
      </w:pPr>
      <w:r w:rsidRPr="00E26E82">
        <w:rPr>
          <w:rFonts w:asciiTheme="minorHAnsi" w:eastAsiaTheme="minorEastAsia" w:hAnsiTheme="minorHAnsi" w:cstheme="minorHAnsi"/>
          <w:b/>
          <w:bCs/>
          <w:sz w:val="22"/>
          <w:szCs w:val="22"/>
          <w:lang w:val="de-DE"/>
        </w:rPr>
        <w:t xml:space="preserve">Kontakt für Rückfragen </w:t>
      </w:r>
    </w:p>
    <w:p w14:paraId="6F8DBFED" w14:textId="77777777" w:rsidR="00562D95" w:rsidRPr="00E26E82" w:rsidRDefault="00562D95" w:rsidP="00562D95">
      <w:pPr>
        <w:widowControl w:val="0"/>
        <w:autoSpaceDE w:val="0"/>
        <w:autoSpaceDN w:val="0"/>
        <w:adjustRightInd w:val="0"/>
        <w:rPr>
          <w:rFonts w:asciiTheme="minorHAnsi" w:eastAsiaTheme="minorEastAsia" w:hAnsiTheme="minorHAnsi" w:cstheme="minorHAnsi"/>
          <w:sz w:val="22"/>
          <w:szCs w:val="22"/>
          <w:lang w:val="de-DE"/>
        </w:rPr>
      </w:pPr>
      <w:r w:rsidRPr="00E26E82">
        <w:rPr>
          <w:rFonts w:asciiTheme="minorHAnsi" w:eastAsiaTheme="minorEastAsia" w:hAnsiTheme="minorHAnsi" w:cstheme="minorHAnsi"/>
          <w:sz w:val="22"/>
          <w:szCs w:val="22"/>
          <w:lang w:val="de-DE"/>
        </w:rPr>
        <w:t>W.A. de Vigier Stiftung</w:t>
      </w:r>
      <w:r w:rsidRPr="00E26E82">
        <w:rPr>
          <w:rFonts w:ascii="MS Gothic" w:eastAsia="MS Gothic" w:hAnsi="MS Gothic" w:cs="MS Gothic" w:hint="eastAsia"/>
          <w:sz w:val="22"/>
          <w:szCs w:val="22"/>
          <w:lang w:val="de-DE"/>
        </w:rPr>
        <w:t> </w:t>
      </w:r>
    </w:p>
    <w:p w14:paraId="2C08E0A2" w14:textId="77777777" w:rsidR="00562D95" w:rsidRPr="00E26E82" w:rsidRDefault="00562D95" w:rsidP="00562D95">
      <w:pPr>
        <w:widowControl w:val="0"/>
        <w:autoSpaceDE w:val="0"/>
        <w:autoSpaceDN w:val="0"/>
        <w:adjustRightInd w:val="0"/>
        <w:rPr>
          <w:rFonts w:asciiTheme="minorHAnsi" w:eastAsiaTheme="minorEastAsia" w:hAnsiTheme="minorHAnsi" w:cstheme="minorHAnsi"/>
          <w:sz w:val="22"/>
          <w:szCs w:val="22"/>
          <w:lang w:val="de-DE"/>
        </w:rPr>
      </w:pPr>
      <w:r w:rsidRPr="00E26E82">
        <w:rPr>
          <w:rFonts w:asciiTheme="minorHAnsi" w:eastAsiaTheme="minorEastAsia" w:hAnsiTheme="minorHAnsi" w:cstheme="minorHAnsi"/>
          <w:sz w:val="22"/>
          <w:szCs w:val="22"/>
          <w:lang w:val="de-DE"/>
        </w:rPr>
        <w:t>Céline Bedu, COO</w:t>
      </w:r>
    </w:p>
    <w:p w14:paraId="6B9E7227" w14:textId="77777777" w:rsidR="00562D95" w:rsidRPr="00E26E82" w:rsidRDefault="00562D95" w:rsidP="00562D95">
      <w:pPr>
        <w:widowControl w:val="0"/>
        <w:autoSpaceDE w:val="0"/>
        <w:autoSpaceDN w:val="0"/>
        <w:adjustRightInd w:val="0"/>
        <w:rPr>
          <w:rFonts w:asciiTheme="minorHAnsi" w:eastAsiaTheme="minorEastAsia" w:hAnsiTheme="minorHAnsi" w:cstheme="minorHAnsi"/>
          <w:sz w:val="22"/>
          <w:szCs w:val="22"/>
          <w:lang w:val="de-DE"/>
        </w:rPr>
      </w:pPr>
      <w:r w:rsidRPr="00E26E82">
        <w:rPr>
          <w:rFonts w:asciiTheme="minorHAnsi" w:eastAsiaTheme="minorEastAsia" w:hAnsiTheme="minorHAnsi" w:cstheme="minorHAnsi"/>
          <w:sz w:val="22"/>
          <w:szCs w:val="22"/>
          <w:lang w:val="de-DE"/>
        </w:rPr>
        <w:t xml:space="preserve">Untere </w:t>
      </w:r>
      <w:proofErr w:type="spellStart"/>
      <w:r w:rsidRPr="00E26E82">
        <w:rPr>
          <w:rFonts w:asciiTheme="minorHAnsi" w:eastAsiaTheme="minorEastAsia" w:hAnsiTheme="minorHAnsi" w:cstheme="minorHAnsi"/>
          <w:sz w:val="22"/>
          <w:szCs w:val="22"/>
          <w:lang w:val="de-DE"/>
        </w:rPr>
        <w:t>Steingrubenstrasse</w:t>
      </w:r>
      <w:proofErr w:type="spellEnd"/>
      <w:r w:rsidRPr="00E26E82">
        <w:rPr>
          <w:rFonts w:asciiTheme="minorHAnsi" w:eastAsiaTheme="minorEastAsia" w:hAnsiTheme="minorHAnsi" w:cstheme="minorHAnsi"/>
          <w:sz w:val="22"/>
          <w:szCs w:val="22"/>
          <w:lang w:val="de-DE"/>
        </w:rPr>
        <w:t xml:space="preserve"> 25 </w:t>
      </w:r>
      <w:r w:rsidRPr="00E26E82">
        <w:rPr>
          <w:rFonts w:asciiTheme="minorHAnsi" w:hAnsiTheme="minorHAnsi" w:cstheme="minorHAnsi"/>
          <w:sz w:val="22"/>
          <w:szCs w:val="22"/>
        </w:rPr>
        <w:t xml:space="preserve">| </w:t>
      </w:r>
      <w:r w:rsidRPr="00E26E82">
        <w:rPr>
          <w:rFonts w:asciiTheme="minorHAnsi" w:eastAsiaTheme="minorEastAsia" w:hAnsiTheme="minorHAnsi" w:cstheme="minorHAnsi"/>
          <w:sz w:val="22"/>
          <w:szCs w:val="22"/>
          <w:lang w:val="de-DE"/>
        </w:rPr>
        <w:t xml:space="preserve">4500 Solothurn </w:t>
      </w:r>
    </w:p>
    <w:p w14:paraId="388E3110" w14:textId="77777777" w:rsidR="00562D95" w:rsidRPr="00E26E82" w:rsidRDefault="00562D95" w:rsidP="00562D95">
      <w:pPr>
        <w:widowControl w:val="0"/>
        <w:autoSpaceDE w:val="0"/>
        <w:autoSpaceDN w:val="0"/>
        <w:adjustRightInd w:val="0"/>
        <w:rPr>
          <w:rFonts w:asciiTheme="minorHAnsi" w:eastAsiaTheme="minorEastAsia" w:hAnsiTheme="minorHAnsi" w:cstheme="minorHAnsi"/>
          <w:sz w:val="22"/>
          <w:szCs w:val="22"/>
          <w:lang w:val="de-DE"/>
        </w:rPr>
      </w:pPr>
      <w:r w:rsidRPr="00E26E82">
        <w:rPr>
          <w:rFonts w:asciiTheme="minorHAnsi" w:eastAsiaTheme="minorEastAsia" w:hAnsiTheme="minorHAnsi" w:cstheme="minorHAnsi"/>
          <w:sz w:val="22"/>
          <w:szCs w:val="22"/>
          <w:lang w:val="de-DE"/>
        </w:rPr>
        <w:t xml:space="preserve">celine.bedu@devigier.ch </w:t>
      </w:r>
      <w:r w:rsidRPr="00E26E82">
        <w:rPr>
          <w:rFonts w:asciiTheme="minorHAnsi" w:hAnsiTheme="minorHAnsi" w:cstheme="minorHAnsi"/>
          <w:sz w:val="22"/>
          <w:szCs w:val="22"/>
        </w:rPr>
        <w:t xml:space="preserve">| </w:t>
      </w:r>
      <w:r w:rsidRPr="00E26E82">
        <w:rPr>
          <w:rFonts w:asciiTheme="minorHAnsi" w:eastAsiaTheme="minorEastAsia" w:hAnsiTheme="minorHAnsi" w:cstheme="minorHAnsi"/>
          <w:sz w:val="22"/>
          <w:szCs w:val="22"/>
          <w:lang w:val="de-DE"/>
        </w:rPr>
        <w:t xml:space="preserve">www.devigier.ch </w:t>
      </w:r>
    </w:p>
    <w:p w14:paraId="1918CB92" w14:textId="77777777" w:rsidR="00191BC4" w:rsidRPr="00E26E82" w:rsidRDefault="00191BC4">
      <w:pPr>
        <w:rPr>
          <w:rFonts w:asciiTheme="minorHAnsi" w:hAnsiTheme="minorHAnsi" w:cstheme="minorHAnsi"/>
          <w:sz w:val="22"/>
          <w:szCs w:val="22"/>
        </w:rPr>
      </w:pPr>
    </w:p>
    <w:sectPr w:rsidR="00191BC4" w:rsidRPr="00E26E82" w:rsidSect="00191BC4">
      <w:headerReference w:type="default" r:id="rId8"/>
      <w:footerReference w:type="even" r:id="rId9"/>
      <w:footerReference w:type="default" r:id="rId10"/>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935A6" w14:textId="77777777" w:rsidR="00DB7347" w:rsidRDefault="00DB7347">
      <w:r>
        <w:separator/>
      </w:r>
    </w:p>
  </w:endnote>
  <w:endnote w:type="continuationSeparator" w:id="0">
    <w:p w14:paraId="4F5C85CB" w14:textId="77777777" w:rsidR="00DB7347" w:rsidRDefault="00DB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63FF" w14:textId="77777777" w:rsidR="002A22F0" w:rsidRDefault="00000000" w:rsidP="00692DC5">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607127E" w14:textId="77777777" w:rsidR="002A22F0" w:rsidRDefault="002A22F0" w:rsidP="00D257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34B97" w14:textId="77777777" w:rsidR="002A22F0" w:rsidRPr="00D25769" w:rsidRDefault="00000000" w:rsidP="00692DC5">
    <w:pPr>
      <w:pStyle w:val="Footer"/>
      <w:framePr w:wrap="around" w:vAnchor="text" w:hAnchor="margin" w:xAlign="right" w:y="1"/>
      <w:rPr>
        <w:rStyle w:val="PageNumber"/>
        <w:rFonts w:eastAsiaTheme="majorEastAsia"/>
        <w:sz w:val="18"/>
        <w:szCs w:val="18"/>
      </w:rPr>
    </w:pPr>
    <w:r w:rsidRPr="00D25769">
      <w:rPr>
        <w:rStyle w:val="PageNumber"/>
        <w:rFonts w:eastAsiaTheme="majorEastAsia"/>
        <w:sz w:val="18"/>
        <w:szCs w:val="18"/>
      </w:rPr>
      <w:fldChar w:fldCharType="begin"/>
    </w:r>
    <w:r w:rsidRPr="00D25769">
      <w:rPr>
        <w:rStyle w:val="PageNumber"/>
        <w:rFonts w:eastAsiaTheme="majorEastAsia"/>
        <w:sz w:val="18"/>
        <w:szCs w:val="18"/>
      </w:rPr>
      <w:instrText xml:space="preserve">PAGE  </w:instrText>
    </w:r>
    <w:r w:rsidRPr="00D25769">
      <w:rPr>
        <w:rStyle w:val="PageNumber"/>
        <w:rFonts w:eastAsiaTheme="majorEastAsia"/>
        <w:sz w:val="18"/>
        <w:szCs w:val="18"/>
      </w:rPr>
      <w:fldChar w:fldCharType="separate"/>
    </w:r>
    <w:r>
      <w:rPr>
        <w:rStyle w:val="PageNumber"/>
        <w:rFonts w:eastAsiaTheme="majorEastAsia"/>
        <w:noProof/>
        <w:sz w:val="18"/>
        <w:szCs w:val="18"/>
      </w:rPr>
      <w:t>1</w:t>
    </w:r>
    <w:r w:rsidRPr="00D25769">
      <w:rPr>
        <w:rStyle w:val="PageNumber"/>
        <w:rFonts w:eastAsiaTheme="majorEastAsia"/>
        <w:sz w:val="18"/>
        <w:szCs w:val="18"/>
      </w:rPr>
      <w:fldChar w:fldCharType="end"/>
    </w:r>
    <w:r w:rsidRPr="00D25769">
      <w:rPr>
        <w:rStyle w:val="PageNumber"/>
        <w:rFonts w:eastAsiaTheme="majorEastAsia"/>
        <w:sz w:val="18"/>
        <w:szCs w:val="18"/>
      </w:rPr>
      <w:t>/</w:t>
    </w:r>
    <w:r>
      <w:rPr>
        <w:rStyle w:val="PageNumber"/>
        <w:rFonts w:eastAsiaTheme="majorEastAsia"/>
        <w:sz w:val="18"/>
        <w:szCs w:val="18"/>
      </w:rPr>
      <w:t>4</w:t>
    </w:r>
  </w:p>
  <w:p w14:paraId="2887BECB" w14:textId="77777777" w:rsidR="002A22F0" w:rsidRDefault="002A22F0" w:rsidP="00D257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7E6A0" w14:textId="77777777" w:rsidR="00DB7347" w:rsidRDefault="00DB7347">
      <w:r>
        <w:separator/>
      </w:r>
    </w:p>
  </w:footnote>
  <w:footnote w:type="continuationSeparator" w:id="0">
    <w:p w14:paraId="360C802F" w14:textId="77777777" w:rsidR="00DB7347" w:rsidRDefault="00DB7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254F" w14:textId="77777777" w:rsidR="002A22F0" w:rsidRDefault="00000000">
    <w:pPr>
      <w:pStyle w:val="Header"/>
    </w:pPr>
    <w:r>
      <w:rPr>
        <w:noProof/>
      </w:rPr>
      <w:drawing>
        <wp:inline distT="0" distB="0" distL="0" distR="0" wp14:anchorId="0F1CEB38" wp14:editId="63787B2A">
          <wp:extent cx="1971413" cy="492853"/>
          <wp:effectExtent l="0" t="0" r="0" b="2540"/>
          <wp:docPr id="1822463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63966" name="Picture 1"/>
                  <pic:cNvPicPr/>
                </pic:nvPicPr>
                <pic:blipFill>
                  <a:blip r:embed="rId1"/>
                  <a:stretch>
                    <a:fillRect/>
                  </a:stretch>
                </pic:blipFill>
                <pic:spPr>
                  <a:xfrm>
                    <a:off x="0" y="0"/>
                    <a:ext cx="2081248" cy="520312"/>
                  </a:xfrm>
                  <a:prstGeom prst="rect">
                    <a:avLst/>
                  </a:prstGeom>
                </pic:spPr>
              </pic:pic>
            </a:graphicData>
          </a:graphic>
        </wp:inline>
      </w:drawing>
    </w:r>
  </w:p>
  <w:p w14:paraId="128127AF" w14:textId="77777777" w:rsidR="002A22F0" w:rsidRDefault="002A22F0">
    <w:pPr>
      <w:pStyle w:val="Header"/>
    </w:pPr>
  </w:p>
  <w:p w14:paraId="7FDC3232" w14:textId="77777777" w:rsidR="002A22F0" w:rsidRDefault="002A22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BC4"/>
    <w:rsid w:val="00181E99"/>
    <w:rsid w:val="00191BC4"/>
    <w:rsid w:val="0019795B"/>
    <w:rsid w:val="001C7DC6"/>
    <w:rsid w:val="002A22F0"/>
    <w:rsid w:val="0049473C"/>
    <w:rsid w:val="00562D95"/>
    <w:rsid w:val="006D1813"/>
    <w:rsid w:val="0086138B"/>
    <w:rsid w:val="00B949A3"/>
    <w:rsid w:val="00CA4F87"/>
    <w:rsid w:val="00D52719"/>
    <w:rsid w:val="00D96B20"/>
    <w:rsid w:val="00DB7347"/>
    <w:rsid w:val="00E26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D59BFB"/>
  <w15:chartTrackingRefBased/>
  <w15:docId w15:val="{138E8545-1091-7B40-A12F-FC8CF2C8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BC4"/>
    <w:pPr>
      <w:spacing w:after="0" w:line="240" w:lineRule="auto"/>
    </w:pPr>
    <w:rPr>
      <w:rFonts w:ascii="Calibri" w:eastAsia="Times New Roman" w:hAnsi="Calibri" w:cs="Times New Roman"/>
      <w:kern w:val="0"/>
      <w:lang w:val="de-CH" w:eastAsia="ja-JP"/>
      <w14:ligatures w14:val="none"/>
    </w:rPr>
  </w:style>
  <w:style w:type="paragraph" w:styleId="Heading1">
    <w:name w:val="heading 1"/>
    <w:basedOn w:val="Normal"/>
    <w:next w:val="Normal"/>
    <w:link w:val="Heading1Char"/>
    <w:uiPriority w:val="9"/>
    <w:qFormat/>
    <w:rsid w:val="00191BC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unhideWhenUsed/>
    <w:qFormat/>
    <w:rsid w:val="00191BC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191BC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191BC4"/>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191BC4"/>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191BC4"/>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191BC4"/>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191BC4"/>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191BC4"/>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B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91B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1B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1B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1B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1B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B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B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BC4"/>
    <w:rPr>
      <w:rFonts w:eastAsiaTheme="majorEastAsia" w:cstheme="majorBidi"/>
      <w:color w:val="272727" w:themeColor="text1" w:themeTint="D8"/>
    </w:rPr>
  </w:style>
  <w:style w:type="paragraph" w:styleId="Title">
    <w:name w:val="Title"/>
    <w:basedOn w:val="Normal"/>
    <w:next w:val="Normal"/>
    <w:link w:val="TitleChar"/>
    <w:uiPriority w:val="10"/>
    <w:qFormat/>
    <w:rsid w:val="00191BC4"/>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191B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B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191B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BC4"/>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191BC4"/>
    <w:rPr>
      <w:i/>
      <w:iCs/>
      <w:color w:val="404040" w:themeColor="text1" w:themeTint="BF"/>
    </w:rPr>
  </w:style>
  <w:style w:type="paragraph" w:styleId="ListParagraph">
    <w:name w:val="List Paragraph"/>
    <w:basedOn w:val="Normal"/>
    <w:uiPriority w:val="34"/>
    <w:qFormat/>
    <w:rsid w:val="00191BC4"/>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191BC4"/>
    <w:rPr>
      <w:i/>
      <w:iCs/>
      <w:color w:val="2F5496" w:themeColor="accent1" w:themeShade="BF"/>
    </w:rPr>
  </w:style>
  <w:style w:type="paragraph" w:styleId="IntenseQuote">
    <w:name w:val="Intense Quote"/>
    <w:basedOn w:val="Normal"/>
    <w:next w:val="Normal"/>
    <w:link w:val="IntenseQuoteChar"/>
    <w:uiPriority w:val="30"/>
    <w:qFormat/>
    <w:rsid w:val="00191BC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191BC4"/>
    <w:rPr>
      <w:i/>
      <w:iCs/>
      <w:color w:val="2F5496" w:themeColor="accent1" w:themeShade="BF"/>
    </w:rPr>
  </w:style>
  <w:style w:type="character" w:styleId="IntenseReference">
    <w:name w:val="Intense Reference"/>
    <w:basedOn w:val="DefaultParagraphFont"/>
    <w:uiPriority w:val="32"/>
    <w:qFormat/>
    <w:rsid w:val="00191BC4"/>
    <w:rPr>
      <w:b/>
      <w:bCs/>
      <w:smallCaps/>
      <w:color w:val="2F5496" w:themeColor="accent1" w:themeShade="BF"/>
      <w:spacing w:val="5"/>
    </w:rPr>
  </w:style>
  <w:style w:type="paragraph" w:styleId="Header">
    <w:name w:val="header"/>
    <w:basedOn w:val="Normal"/>
    <w:link w:val="HeaderChar"/>
    <w:uiPriority w:val="99"/>
    <w:unhideWhenUsed/>
    <w:rsid w:val="00191BC4"/>
    <w:pPr>
      <w:tabs>
        <w:tab w:val="center" w:pos="4536"/>
        <w:tab w:val="right" w:pos="9072"/>
      </w:tabs>
    </w:pPr>
  </w:style>
  <w:style w:type="character" w:customStyle="1" w:styleId="HeaderChar">
    <w:name w:val="Header Char"/>
    <w:basedOn w:val="DefaultParagraphFont"/>
    <w:link w:val="Header"/>
    <w:uiPriority w:val="99"/>
    <w:rsid w:val="00191BC4"/>
    <w:rPr>
      <w:rFonts w:ascii="Calibri" w:eastAsia="Times New Roman" w:hAnsi="Calibri" w:cs="Times New Roman"/>
      <w:kern w:val="0"/>
      <w:lang w:val="de-CH" w:eastAsia="ja-JP"/>
      <w14:ligatures w14:val="none"/>
    </w:rPr>
  </w:style>
  <w:style w:type="paragraph" w:styleId="Footer">
    <w:name w:val="footer"/>
    <w:basedOn w:val="Normal"/>
    <w:link w:val="FooterChar"/>
    <w:uiPriority w:val="99"/>
    <w:unhideWhenUsed/>
    <w:rsid w:val="00191BC4"/>
    <w:pPr>
      <w:tabs>
        <w:tab w:val="center" w:pos="4536"/>
        <w:tab w:val="right" w:pos="9072"/>
      </w:tabs>
    </w:pPr>
  </w:style>
  <w:style w:type="character" w:customStyle="1" w:styleId="FooterChar">
    <w:name w:val="Footer Char"/>
    <w:basedOn w:val="DefaultParagraphFont"/>
    <w:link w:val="Footer"/>
    <w:uiPriority w:val="99"/>
    <w:rsid w:val="00191BC4"/>
    <w:rPr>
      <w:rFonts w:ascii="Calibri" w:eastAsia="Times New Roman" w:hAnsi="Calibri" w:cs="Times New Roman"/>
      <w:kern w:val="0"/>
      <w:lang w:val="de-CH" w:eastAsia="ja-JP"/>
      <w14:ligatures w14:val="none"/>
    </w:rPr>
  </w:style>
  <w:style w:type="character" w:styleId="PageNumber">
    <w:name w:val="page number"/>
    <w:basedOn w:val="DefaultParagraphFont"/>
    <w:uiPriority w:val="99"/>
    <w:semiHidden/>
    <w:unhideWhenUsed/>
    <w:rsid w:val="00191BC4"/>
  </w:style>
  <w:style w:type="paragraph" w:styleId="NormalWeb">
    <w:name w:val="Normal (Web)"/>
    <w:basedOn w:val="Normal"/>
    <w:uiPriority w:val="99"/>
    <w:unhideWhenUsed/>
    <w:rsid w:val="00191BC4"/>
    <w:pPr>
      <w:spacing w:before="100" w:beforeAutospacing="1" w:after="100" w:afterAutospacing="1"/>
    </w:pPr>
    <w:rPr>
      <w:rFonts w:ascii="Times" w:eastAsiaTheme="minorEastAsia" w:hAnsi="Times"/>
      <w:sz w:val="20"/>
      <w:szCs w:val="20"/>
      <w:lang w:eastAsia="de-DE"/>
    </w:rPr>
  </w:style>
  <w:style w:type="character" w:styleId="Strong">
    <w:name w:val="Strong"/>
    <w:basedOn w:val="DefaultParagraphFont"/>
    <w:uiPriority w:val="22"/>
    <w:qFormat/>
    <w:rsid w:val="0019795B"/>
    <w:rPr>
      <w:b/>
      <w:bCs/>
    </w:rPr>
  </w:style>
  <w:style w:type="paragraph" w:customStyle="1" w:styleId="font-claude-response-body">
    <w:name w:val="font-claude-response-body"/>
    <w:basedOn w:val="Normal"/>
    <w:rsid w:val="0049473C"/>
    <w:pPr>
      <w:spacing w:before="100" w:beforeAutospacing="1" w:after="100" w:afterAutospacing="1"/>
    </w:pPr>
    <w:rPr>
      <w:rFonts w:ascii="Times New Roman" w:hAnsi="Times New Roman"/>
      <w:lang w:val="en-US" w:eastAsia="en-US"/>
    </w:rPr>
  </w:style>
  <w:style w:type="character" w:customStyle="1" w:styleId="apple-converted-space">
    <w:name w:val="apple-converted-space"/>
    <w:basedOn w:val="DefaultParagraphFont"/>
    <w:rsid w:val="0049473C"/>
  </w:style>
  <w:style w:type="character" w:styleId="Hyperlink">
    <w:name w:val="Hyperlink"/>
    <w:basedOn w:val="DefaultParagraphFont"/>
    <w:uiPriority w:val="99"/>
    <w:semiHidden/>
    <w:unhideWhenUsed/>
    <w:rsid w:val="0049473C"/>
    <w:rPr>
      <w:color w:val="0000FF"/>
      <w:u w:val="single"/>
    </w:rPr>
  </w:style>
  <w:style w:type="character" w:styleId="Emphasis">
    <w:name w:val="Emphasis"/>
    <w:basedOn w:val="DefaultParagraphFont"/>
    <w:uiPriority w:val="20"/>
    <w:qFormat/>
    <w:rsid w:val="004947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devigier.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1600</Words>
  <Characters>9123</Characters>
  <Application>Microsoft Office Word</Application>
  <DocSecurity>0</DocSecurity>
  <Lines>76</Lines>
  <Paragraphs>21</Paragraphs>
  <ScaleCrop>false</ScaleCrop>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Everett</dc:creator>
  <cp:keywords/>
  <dc:description/>
  <cp:lastModifiedBy>Sophie Everett</cp:lastModifiedBy>
  <cp:revision>9</cp:revision>
  <dcterms:created xsi:type="dcterms:W3CDTF">2026-05-11T15:10:00Z</dcterms:created>
  <dcterms:modified xsi:type="dcterms:W3CDTF">2026-05-11T19:38:00Z</dcterms:modified>
</cp:coreProperties>
</file>